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F6509" w14:textId="77777777" w:rsidR="00B25430" w:rsidRPr="00872BD8" w:rsidRDefault="00B25430" w:rsidP="00B25430">
      <w:pPr>
        <w:tabs>
          <w:tab w:val="left" w:pos="405"/>
          <w:tab w:val="center" w:pos="4603"/>
        </w:tabs>
        <w:rPr>
          <w:rFonts w:cs="Arial"/>
        </w:rPr>
      </w:pPr>
      <w:r w:rsidRPr="00872BD8">
        <w:rPr>
          <w:rFonts w:cs="Arial"/>
          <w:b/>
        </w:rPr>
        <w:tab/>
      </w:r>
      <w:r w:rsidRPr="00872BD8">
        <w:rPr>
          <w:rFonts w:cs="Arial"/>
          <w:b/>
        </w:rPr>
        <w:tab/>
      </w:r>
      <w:r w:rsidRPr="00872BD8">
        <w:rPr>
          <w:rFonts w:cs="Arial"/>
          <w:b/>
        </w:rPr>
        <w:tab/>
      </w:r>
      <w:r w:rsidRPr="00872BD8">
        <w:rPr>
          <w:rFonts w:cs="Arial"/>
          <w:b/>
        </w:rPr>
        <w:tab/>
      </w:r>
      <w:r w:rsidRPr="00872BD8">
        <w:rPr>
          <w:rFonts w:cs="Arial"/>
          <w:b/>
        </w:rPr>
        <w:tab/>
      </w:r>
    </w:p>
    <w:p w14:paraId="3A83F08C" w14:textId="77777777" w:rsidR="00B25430" w:rsidRPr="00872BD8" w:rsidRDefault="00B25430" w:rsidP="00872BD8">
      <w:pPr>
        <w:ind w:left="0"/>
        <w:jc w:val="center"/>
        <w:rPr>
          <w:rFonts w:cs="Arial"/>
          <w:b/>
        </w:rPr>
      </w:pPr>
      <w:r w:rsidRPr="00872BD8">
        <w:rPr>
          <w:rFonts w:cs="Arial"/>
          <w:b/>
        </w:rPr>
        <w:t>ANUNŢ</w:t>
      </w:r>
    </w:p>
    <w:p w14:paraId="72B0025F" w14:textId="77777777" w:rsidR="00B25430" w:rsidRPr="00872BD8" w:rsidRDefault="00B25430" w:rsidP="00A871AA">
      <w:pPr>
        <w:jc w:val="center"/>
        <w:rPr>
          <w:rFonts w:cs="Arial"/>
          <w:b/>
        </w:rPr>
      </w:pPr>
    </w:p>
    <w:p w14:paraId="7B8691E1" w14:textId="5C1F583E" w:rsidR="00145AED" w:rsidRDefault="00B25430" w:rsidP="00A31FFB">
      <w:pPr>
        <w:spacing w:before="240"/>
        <w:ind w:left="0" w:right="134"/>
        <w:jc w:val="center"/>
        <w:rPr>
          <w:rFonts w:cs="Arial"/>
          <w:b/>
        </w:rPr>
      </w:pPr>
      <w:r w:rsidRPr="00872BD8">
        <w:rPr>
          <w:rFonts w:cs="Arial"/>
          <w:b/>
          <w:bCs/>
          <w:iCs/>
        </w:rPr>
        <w:t xml:space="preserve">Ministerul </w:t>
      </w:r>
      <w:r w:rsidR="00872BD8" w:rsidRPr="00872BD8">
        <w:rPr>
          <w:rFonts w:cs="Arial"/>
          <w:b/>
          <w:bCs/>
          <w:iCs/>
        </w:rPr>
        <w:t>Justiției</w:t>
      </w:r>
      <w:r w:rsidRPr="00872BD8">
        <w:rPr>
          <w:rFonts w:cs="Arial"/>
          <w:b/>
          <w:bCs/>
          <w:iCs/>
        </w:rPr>
        <w:t xml:space="preserve"> organizează </w:t>
      </w:r>
      <w:r w:rsidR="00A31FFB" w:rsidRPr="00A31FFB">
        <w:rPr>
          <w:rFonts w:cs="Arial"/>
          <w:b/>
          <w:bCs/>
          <w:iCs/>
        </w:rPr>
        <w:t>examen pentru atribuirea calității de expert tehnic judiciar în specializarea „Autovehicule, circulație rutieră”</w:t>
      </w:r>
    </w:p>
    <w:p w14:paraId="749754AE" w14:textId="77777777" w:rsidR="00B25430" w:rsidRDefault="00B25430" w:rsidP="00145AED">
      <w:pPr>
        <w:ind w:left="0"/>
        <w:jc w:val="center"/>
        <w:rPr>
          <w:rFonts w:cs="Arial"/>
          <w:b/>
        </w:rPr>
      </w:pPr>
      <w:r w:rsidRPr="00872BD8">
        <w:rPr>
          <w:rFonts w:cs="Arial"/>
          <w:b/>
        </w:rPr>
        <w:t>Publicat:</w:t>
      </w:r>
    </w:p>
    <w:p w14:paraId="6C987F6F" w14:textId="62D63A85" w:rsidR="00304593" w:rsidRDefault="00431A57" w:rsidP="00145AED">
      <w:pPr>
        <w:ind w:left="0"/>
        <w:jc w:val="center"/>
        <w:rPr>
          <w:rFonts w:cs="Arial"/>
          <w:b/>
        </w:rPr>
      </w:pPr>
      <w:r w:rsidRPr="00C52072">
        <w:rPr>
          <w:rFonts w:cs="Arial"/>
          <w:b/>
        </w:rPr>
        <w:t>1</w:t>
      </w:r>
      <w:r w:rsidR="00C52072" w:rsidRPr="00C52072">
        <w:rPr>
          <w:rFonts w:cs="Arial"/>
          <w:b/>
        </w:rPr>
        <w:t>1</w:t>
      </w:r>
      <w:r w:rsidR="00547D31" w:rsidRPr="00C52072">
        <w:rPr>
          <w:rFonts w:cs="Arial"/>
          <w:b/>
        </w:rPr>
        <w:t xml:space="preserve"> </w:t>
      </w:r>
      <w:r w:rsidR="00A31FFB" w:rsidRPr="00C52072">
        <w:rPr>
          <w:rFonts w:cs="Arial"/>
          <w:b/>
        </w:rPr>
        <w:t>februarie</w:t>
      </w:r>
      <w:r w:rsidR="00AF3324">
        <w:rPr>
          <w:rFonts w:cs="Arial"/>
          <w:b/>
        </w:rPr>
        <w:t xml:space="preserve"> 202</w:t>
      </w:r>
      <w:r w:rsidR="00A31FFB">
        <w:rPr>
          <w:rFonts w:cs="Arial"/>
          <w:b/>
        </w:rPr>
        <w:t>6</w:t>
      </w:r>
    </w:p>
    <w:p w14:paraId="315DB8A4" w14:textId="77777777" w:rsidR="00872BD8" w:rsidRPr="00872BD8" w:rsidRDefault="00872BD8" w:rsidP="00A00893">
      <w:pPr>
        <w:spacing w:after="0"/>
        <w:ind w:left="1134"/>
        <w:rPr>
          <w:rFonts w:cs="Arial"/>
          <w:b/>
        </w:rPr>
      </w:pPr>
    </w:p>
    <w:p w14:paraId="73813408" w14:textId="77777777" w:rsidR="00B25430" w:rsidRPr="00A00893" w:rsidRDefault="00B25430" w:rsidP="00145AED">
      <w:pPr>
        <w:numPr>
          <w:ilvl w:val="0"/>
          <w:numId w:val="1"/>
        </w:numPr>
        <w:tabs>
          <w:tab w:val="clear" w:pos="1211"/>
          <w:tab w:val="num" w:pos="851"/>
        </w:tabs>
        <w:spacing w:after="0"/>
        <w:ind w:left="0"/>
        <w:rPr>
          <w:rFonts w:cs="Arial"/>
          <w:b/>
        </w:rPr>
      </w:pPr>
      <w:r w:rsidRPr="00A00893">
        <w:rPr>
          <w:rFonts w:cs="Arial"/>
          <w:b/>
        </w:rPr>
        <w:t>Organizator</w:t>
      </w:r>
    </w:p>
    <w:p w14:paraId="68991666" w14:textId="122DF269" w:rsidR="005A3789" w:rsidRPr="00872BD8" w:rsidRDefault="00B25430" w:rsidP="00145AED">
      <w:pPr>
        <w:ind w:left="0"/>
        <w:rPr>
          <w:rFonts w:cs="Arial"/>
        </w:rPr>
      </w:pPr>
      <w:r w:rsidRPr="00872BD8">
        <w:rPr>
          <w:rFonts w:cs="Arial"/>
        </w:rPr>
        <w:t xml:space="preserve">Ministerul </w:t>
      </w:r>
      <w:r w:rsidR="00A00893" w:rsidRPr="00872BD8">
        <w:rPr>
          <w:rFonts w:cs="Arial"/>
        </w:rPr>
        <w:t>Justiției</w:t>
      </w:r>
      <w:r w:rsidRPr="00872BD8">
        <w:rPr>
          <w:rFonts w:cs="Arial"/>
        </w:rPr>
        <w:t>.</w:t>
      </w:r>
      <w:bookmarkStart w:id="0" w:name="_GoBack"/>
      <w:bookmarkEnd w:id="0"/>
    </w:p>
    <w:p w14:paraId="53FD3F63" w14:textId="391D83EE" w:rsidR="00B25430" w:rsidRDefault="00B25430" w:rsidP="00145AED">
      <w:pPr>
        <w:numPr>
          <w:ilvl w:val="0"/>
          <w:numId w:val="1"/>
        </w:numPr>
        <w:tabs>
          <w:tab w:val="clear" w:pos="1211"/>
          <w:tab w:val="num" w:pos="851"/>
        </w:tabs>
        <w:spacing w:after="0"/>
        <w:ind w:left="0"/>
        <w:rPr>
          <w:rFonts w:cs="Arial"/>
          <w:b/>
        </w:rPr>
      </w:pPr>
      <w:r w:rsidRPr="00872BD8">
        <w:rPr>
          <w:rFonts w:cs="Arial"/>
          <w:b/>
        </w:rPr>
        <w:t xml:space="preserve">Tipul </w:t>
      </w:r>
      <w:r w:rsidR="002F120C" w:rsidRPr="00872BD8">
        <w:rPr>
          <w:rFonts w:cs="Arial"/>
          <w:b/>
        </w:rPr>
        <w:t>și</w:t>
      </w:r>
      <w:r w:rsidRPr="00872BD8">
        <w:rPr>
          <w:rFonts w:cs="Arial"/>
          <w:b/>
        </w:rPr>
        <w:t xml:space="preserve"> scopul </w:t>
      </w:r>
      <w:r w:rsidR="00C42798">
        <w:rPr>
          <w:rFonts w:cs="Arial"/>
          <w:b/>
        </w:rPr>
        <w:t>examenului</w:t>
      </w:r>
    </w:p>
    <w:p w14:paraId="613953F6" w14:textId="3FBB6A23" w:rsidR="00431A57" w:rsidRPr="00431A57" w:rsidRDefault="00A31FFB" w:rsidP="00A31FFB">
      <w:pPr>
        <w:spacing w:after="0"/>
        <w:ind w:left="0"/>
      </w:pPr>
      <w:r>
        <w:t>Examen pentru atribuirea calității de expert tehnic judiciar în specializarea „Autovehicule, circulație rutieră”.</w:t>
      </w:r>
    </w:p>
    <w:p w14:paraId="7EA9CB2C" w14:textId="77777777" w:rsidR="00B25430" w:rsidRPr="00872BD8" w:rsidRDefault="00190172" w:rsidP="00145AED">
      <w:pPr>
        <w:numPr>
          <w:ilvl w:val="0"/>
          <w:numId w:val="1"/>
        </w:numPr>
        <w:spacing w:after="0"/>
        <w:ind w:left="0"/>
        <w:rPr>
          <w:rFonts w:cs="Arial"/>
          <w:b/>
        </w:rPr>
      </w:pPr>
      <w:r>
        <w:rPr>
          <w:rFonts w:cs="Arial"/>
          <w:b/>
        </w:rPr>
        <w:t>Temei</w:t>
      </w:r>
      <w:r w:rsidR="00112BAC">
        <w:rPr>
          <w:rFonts w:cs="Arial"/>
          <w:b/>
        </w:rPr>
        <w:t>ul</w:t>
      </w:r>
      <w:r>
        <w:rPr>
          <w:rFonts w:cs="Arial"/>
          <w:b/>
        </w:rPr>
        <w:t xml:space="preserve"> legal</w:t>
      </w:r>
    </w:p>
    <w:p w14:paraId="52E44A99" w14:textId="77777777" w:rsidR="00B25430" w:rsidRPr="00872BD8" w:rsidRDefault="00190172" w:rsidP="00145AED">
      <w:pPr>
        <w:ind w:left="0"/>
        <w:rPr>
          <w:rFonts w:cs="Arial"/>
        </w:rPr>
      </w:pPr>
      <w:r>
        <w:rPr>
          <w:rFonts w:cs="Arial"/>
        </w:rPr>
        <w:t>a)</w:t>
      </w:r>
      <w:r w:rsidR="00B25430" w:rsidRPr="00872BD8">
        <w:rPr>
          <w:rFonts w:cs="Arial"/>
        </w:rPr>
        <w:t xml:space="preserve"> </w:t>
      </w:r>
      <w:r w:rsidR="00B923EE" w:rsidRPr="00872BD8">
        <w:rPr>
          <w:rFonts w:cs="Arial"/>
        </w:rPr>
        <w:t>Ordonanța</w:t>
      </w:r>
      <w:r w:rsidR="00B25430" w:rsidRPr="00872BD8">
        <w:rPr>
          <w:rFonts w:cs="Arial"/>
        </w:rPr>
        <w:t xml:space="preserve"> Guvernului nr. 2/2000 privind organizarea </w:t>
      </w:r>
      <w:r w:rsidR="00B923EE" w:rsidRPr="00872BD8">
        <w:rPr>
          <w:rFonts w:cs="Arial"/>
        </w:rPr>
        <w:t>activității</w:t>
      </w:r>
      <w:r w:rsidR="00B25430" w:rsidRPr="00872BD8">
        <w:rPr>
          <w:rFonts w:cs="Arial"/>
        </w:rPr>
        <w:t xml:space="preserve"> de expertiză tehnică judiciară </w:t>
      </w:r>
      <w:r w:rsidR="00B923EE" w:rsidRPr="00872BD8">
        <w:rPr>
          <w:rFonts w:cs="Arial"/>
        </w:rPr>
        <w:t>și</w:t>
      </w:r>
      <w:r w:rsidR="00B25430" w:rsidRPr="00872BD8">
        <w:rPr>
          <w:rFonts w:cs="Arial"/>
        </w:rPr>
        <w:t xml:space="preserve"> extrajudiciară, cu modificările </w:t>
      </w:r>
      <w:r w:rsidR="00B923EE" w:rsidRPr="00872BD8">
        <w:rPr>
          <w:rFonts w:cs="Arial"/>
        </w:rPr>
        <w:t>și</w:t>
      </w:r>
      <w:r w:rsidR="00B25430" w:rsidRPr="00872BD8">
        <w:rPr>
          <w:rFonts w:cs="Arial"/>
        </w:rPr>
        <w:t xml:space="preserve"> completările ulterioare.</w:t>
      </w:r>
    </w:p>
    <w:p w14:paraId="1B0EB3EA" w14:textId="19567D84" w:rsidR="00B25430" w:rsidRPr="00872BD8" w:rsidRDefault="00190172" w:rsidP="00145AED">
      <w:pPr>
        <w:ind w:left="0"/>
        <w:rPr>
          <w:rFonts w:cs="Arial"/>
        </w:rPr>
      </w:pPr>
      <w:r>
        <w:rPr>
          <w:rFonts w:cs="Arial"/>
        </w:rPr>
        <w:t>b)</w:t>
      </w:r>
      <w:r w:rsidR="00B25430" w:rsidRPr="00872BD8">
        <w:rPr>
          <w:rFonts w:cs="Arial"/>
        </w:rPr>
        <w:t xml:space="preserve"> Ordinul ministrului </w:t>
      </w:r>
      <w:r w:rsidR="00B923EE" w:rsidRPr="00872BD8">
        <w:rPr>
          <w:rFonts w:cs="Arial"/>
        </w:rPr>
        <w:t>justiției</w:t>
      </w:r>
      <w:r w:rsidR="00B25430" w:rsidRPr="00872BD8">
        <w:rPr>
          <w:rFonts w:cs="Arial"/>
        </w:rPr>
        <w:t xml:space="preserve"> nr. </w:t>
      </w:r>
      <w:r w:rsidR="000C459B" w:rsidRPr="00027FA1">
        <w:t>2059/C/2025</w:t>
      </w:r>
      <w:r w:rsidR="000C459B">
        <w:rPr>
          <w:noProof/>
        </w:rPr>
        <w:t xml:space="preserve"> </w:t>
      </w:r>
      <w:r w:rsidR="00B25430" w:rsidRPr="00872BD8">
        <w:rPr>
          <w:rFonts w:cs="Arial"/>
        </w:rPr>
        <w:t>pentru aprobarea</w:t>
      </w:r>
      <w:r w:rsidR="000C459B" w:rsidRPr="000C459B">
        <w:t xml:space="preserve"> </w:t>
      </w:r>
      <w:r w:rsidR="000C459B" w:rsidRPr="00027FA1">
        <w:t>Regulamentul</w:t>
      </w:r>
      <w:r w:rsidR="000C459B">
        <w:t>ui</w:t>
      </w:r>
      <w:r w:rsidR="000C459B" w:rsidRPr="00027FA1">
        <w:t xml:space="preserve"> privind </w:t>
      </w:r>
      <w:r w:rsidR="008226C2" w:rsidRPr="00027FA1">
        <w:t>desfășurarea</w:t>
      </w:r>
      <w:r w:rsidR="000C459B" w:rsidRPr="00027FA1">
        <w:t xml:space="preserve"> examenului şi a interviului pentru atribuirea calităţii de expert tehnic judiciar şi testarea profesională a </w:t>
      </w:r>
      <w:r w:rsidR="008226C2" w:rsidRPr="00027FA1">
        <w:t>specialiștilor</w:t>
      </w:r>
      <w:r w:rsidR="000C459B" w:rsidRPr="00027FA1">
        <w:t xml:space="preserve"> care efectuează expertize tehnice judiciare</w:t>
      </w:r>
      <w:r w:rsidR="000C459B">
        <w:rPr>
          <w:rFonts w:cs="Arial"/>
        </w:rPr>
        <w:t>.</w:t>
      </w:r>
    </w:p>
    <w:p w14:paraId="1E18D3CE" w14:textId="0F57FF3F" w:rsidR="007C590C" w:rsidRPr="007C590C" w:rsidRDefault="00A31FFB" w:rsidP="00145AED">
      <w:pPr>
        <w:numPr>
          <w:ilvl w:val="0"/>
          <w:numId w:val="1"/>
        </w:numPr>
        <w:spacing w:after="0"/>
        <w:ind w:left="0"/>
        <w:rPr>
          <w:rFonts w:cs="Arial"/>
          <w:b/>
        </w:rPr>
      </w:pPr>
      <w:r>
        <w:rPr>
          <w:rFonts w:cs="Arial"/>
          <w:b/>
        </w:rPr>
        <w:t>Data</w:t>
      </w:r>
      <w:r w:rsidR="00495B47">
        <w:rPr>
          <w:rFonts w:cs="Arial"/>
          <w:b/>
        </w:rPr>
        <w:t xml:space="preserve"> </w:t>
      </w:r>
      <w:r>
        <w:rPr>
          <w:rFonts w:cs="Arial"/>
          <w:b/>
        </w:rPr>
        <w:t>examenului</w:t>
      </w:r>
    </w:p>
    <w:p w14:paraId="3982375D" w14:textId="2B262635" w:rsidR="002E0C74" w:rsidRDefault="00A31FFB" w:rsidP="00145AED">
      <w:pPr>
        <w:ind w:left="0"/>
        <w:rPr>
          <w:rFonts w:cs="Arial"/>
        </w:rPr>
      </w:pPr>
      <w:r>
        <w:rPr>
          <w:rFonts w:cs="Arial"/>
        </w:rPr>
        <w:t>22 aprilie 2026</w:t>
      </w:r>
    </w:p>
    <w:p w14:paraId="5392C719" w14:textId="203525D7" w:rsidR="00B25430" w:rsidRPr="00872BD8" w:rsidRDefault="004561D4" w:rsidP="00145AED">
      <w:pPr>
        <w:numPr>
          <w:ilvl w:val="0"/>
          <w:numId w:val="1"/>
        </w:numPr>
        <w:spacing w:after="0"/>
        <w:ind w:left="0"/>
        <w:rPr>
          <w:rFonts w:cs="Arial"/>
          <w:b/>
        </w:rPr>
      </w:pPr>
      <w:r w:rsidRPr="00872BD8">
        <w:rPr>
          <w:rFonts w:cs="Arial"/>
          <w:b/>
        </w:rPr>
        <w:t>Locația</w:t>
      </w:r>
      <w:r w:rsidR="00112BAC">
        <w:rPr>
          <w:rFonts w:cs="Arial"/>
          <w:b/>
        </w:rPr>
        <w:t xml:space="preserve"> la care se va desfășura </w:t>
      </w:r>
      <w:r w:rsidR="00C42798">
        <w:rPr>
          <w:rFonts w:cs="Arial"/>
          <w:b/>
        </w:rPr>
        <w:t>examenul</w:t>
      </w:r>
    </w:p>
    <w:p w14:paraId="40ECDB88" w14:textId="40BB494B" w:rsidR="00B25430" w:rsidRPr="00872BD8" w:rsidRDefault="00190172" w:rsidP="00145AED">
      <w:pPr>
        <w:ind w:left="0"/>
        <w:rPr>
          <w:rFonts w:cs="Arial"/>
        </w:rPr>
      </w:pPr>
      <w:r>
        <w:rPr>
          <w:rFonts w:cs="Arial"/>
        </w:rPr>
        <w:t>Bucureșt</w:t>
      </w:r>
      <w:r w:rsidR="00A31FFB">
        <w:rPr>
          <w:rFonts w:cs="Arial"/>
        </w:rPr>
        <w:t>i</w:t>
      </w:r>
    </w:p>
    <w:p w14:paraId="59AEB4E4" w14:textId="3EB59500" w:rsidR="00B25430" w:rsidRDefault="00B25430" w:rsidP="00145AED">
      <w:pPr>
        <w:numPr>
          <w:ilvl w:val="0"/>
          <w:numId w:val="1"/>
        </w:numPr>
        <w:spacing w:after="0"/>
        <w:ind w:left="0"/>
        <w:rPr>
          <w:rFonts w:cs="Arial"/>
          <w:b/>
        </w:rPr>
      </w:pPr>
      <w:r w:rsidRPr="00872BD8">
        <w:rPr>
          <w:rFonts w:cs="Arial"/>
          <w:b/>
        </w:rPr>
        <w:t xml:space="preserve">Modalitatea de verificare a </w:t>
      </w:r>
      <w:r w:rsidR="00564ADC" w:rsidRPr="00872BD8">
        <w:rPr>
          <w:rFonts w:cs="Arial"/>
          <w:b/>
        </w:rPr>
        <w:t>cunoștințelor</w:t>
      </w:r>
    </w:p>
    <w:p w14:paraId="5721EC27" w14:textId="2C9C1983" w:rsidR="00A31FFB" w:rsidRDefault="00A31FFB" w:rsidP="00A31FFB">
      <w:pPr>
        <w:spacing w:after="0"/>
        <w:ind w:left="0"/>
        <w:rPr>
          <w:rFonts w:cs="Arial"/>
        </w:rPr>
      </w:pPr>
      <w:r w:rsidRPr="00A31FFB">
        <w:rPr>
          <w:rFonts w:cs="Arial"/>
        </w:rPr>
        <w:t>Probă scrisă tip grilă din tematica de examen</w:t>
      </w:r>
      <w:r w:rsidR="00431A57">
        <w:rPr>
          <w:rFonts w:cs="Arial"/>
        </w:rPr>
        <w:t xml:space="preserve">, cu </w:t>
      </w:r>
      <w:r w:rsidR="00431A57" w:rsidRPr="00431A57">
        <w:rPr>
          <w:rFonts w:cs="Arial"/>
        </w:rPr>
        <w:t>100 de întrebări, respectiv câte 60 de întrebări ce privesc verificarea nivelului cunoștințelor candidaţilor în specializarea pentru care candidează şi gradul de însușire a actelor normative referitoare la specializarea respectivă, precum şi 40 de întrebări ce privesc dispozițiile din codurile de procedură civilă şi penală referitoare la expertiză şi din alte acte normative care reglementează activitatea de expertiză tehnică judiciară, precum şi drepturile şi obligațiile experţilor</w:t>
      </w:r>
      <w:r w:rsidR="00431A57">
        <w:rPr>
          <w:rFonts w:cs="Arial"/>
        </w:rPr>
        <w:t>.</w:t>
      </w:r>
    </w:p>
    <w:p w14:paraId="7B8B8590" w14:textId="1E1616EE" w:rsidR="00431A57" w:rsidRPr="00A31FFB" w:rsidRDefault="00431A57" w:rsidP="00A31FFB">
      <w:pPr>
        <w:spacing w:after="0"/>
        <w:ind w:left="0"/>
        <w:rPr>
          <w:rFonts w:cs="Arial"/>
        </w:rPr>
      </w:pPr>
      <w:r w:rsidRPr="00431A57">
        <w:rPr>
          <w:rFonts w:cs="Arial"/>
        </w:rPr>
        <w:t xml:space="preserve">Sunt declarați admişi candidaţii care obțin la examen minimum nota 6, rezultată din </w:t>
      </w:r>
      <w:r w:rsidR="0050071C" w:rsidRPr="00431A57">
        <w:rPr>
          <w:rFonts w:cs="Arial"/>
        </w:rPr>
        <w:t>obținerea</w:t>
      </w:r>
      <w:r w:rsidRPr="00431A57">
        <w:rPr>
          <w:rFonts w:cs="Arial"/>
        </w:rPr>
        <w:t xml:space="preserve"> a minimum 40 de puncte la întrebările privind verificarea nivelului </w:t>
      </w:r>
      <w:r w:rsidR="0050071C" w:rsidRPr="00431A57">
        <w:rPr>
          <w:rFonts w:cs="Arial"/>
        </w:rPr>
        <w:t>cunoștințelor</w:t>
      </w:r>
      <w:r w:rsidRPr="00431A57">
        <w:rPr>
          <w:rFonts w:cs="Arial"/>
        </w:rPr>
        <w:t xml:space="preserve"> candidaţilor în specializarea pentru care candidează, a gradului de </w:t>
      </w:r>
      <w:r w:rsidR="0050071C" w:rsidRPr="00431A57">
        <w:rPr>
          <w:rFonts w:cs="Arial"/>
        </w:rPr>
        <w:t>însușire</w:t>
      </w:r>
      <w:r w:rsidRPr="00431A57">
        <w:rPr>
          <w:rFonts w:cs="Arial"/>
        </w:rPr>
        <w:t xml:space="preserve"> a actelor normative referitoare la specializarea respectivă, precum şi a minimum 20 de puncte la întrebările privind </w:t>
      </w:r>
      <w:r w:rsidR="0050071C" w:rsidRPr="00431A57">
        <w:rPr>
          <w:rFonts w:cs="Arial"/>
        </w:rPr>
        <w:t>dispozițiile</w:t>
      </w:r>
      <w:r w:rsidRPr="00431A57">
        <w:rPr>
          <w:rFonts w:cs="Arial"/>
        </w:rPr>
        <w:t xml:space="preserve"> din codurile de procedură civilă şi penală referitoare la expertiză şi din alte acte normative care reglementează activitatea de expertiză tehnică judiciară, precum şi drepturile şi </w:t>
      </w:r>
      <w:r w:rsidR="0050071C" w:rsidRPr="00431A57">
        <w:rPr>
          <w:rFonts w:cs="Arial"/>
        </w:rPr>
        <w:t>obligațiile</w:t>
      </w:r>
      <w:r w:rsidRPr="00431A57">
        <w:rPr>
          <w:rFonts w:cs="Arial"/>
        </w:rPr>
        <w:t xml:space="preserve"> experţilor.</w:t>
      </w:r>
    </w:p>
    <w:p w14:paraId="26FEF880" w14:textId="77777777" w:rsidR="00B25430" w:rsidRPr="00872BD8" w:rsidRDefault="00B25430" w:rsidP="00145AED">
      <w:pPr>
        <w:numPr>
          <w:ilvl w:val="0"/>
          <w:numId w:val="1"/>
        </w:numPr>
        <w:spacing w:after="0"/>
        <w:ind w:left="0"/>
        <w:rPr>
          <w:rFonts w:cs="Arial"/>
          <w:b/>
        </w:rPr>
      </w:pPr>
      <w:r w:rsidRPr="00872BD8">
        <w:rPr>
          <w:rFonts w:cs="Arial"/>
          <w:b/>
        </w:rPr>
        <w:t>Perioada de înscriere</w:t>
      </w:r>
    </w:p>
    <w:p w14:paraId="1E901D0B" w14:textId="341B148D" w:rsidR="00B25430" w:rsidRDefault="000C459B" w:rsidP="00145AED">
      <w:pPr>
        <w:ind w:left="0"/>
        <w:rPr>
          <w:rFonts w:cs="Arial"/>
        </w:rPr>
      </w:pPr>
      <w:r>
        <w:rPr>
          <w:rFonts w:cs="Arial"/>
        </w:rPr>
        <w:t>1</w:t>
      </w:r>
      <w:r w:rsidR="00637CCE">
        <w:rPr>
          <w:rFonts w:cs="Arial"/>
        </w:rPr>
        <w:t>6</w:t>
      </w:r>
      <w:r w:rsidR="00B80108">
        <w:rPr>
          <w:rFonts w:cs="Arial"/>
        </w:rPr>
        <w:t xml:space="preserve"> </w:t>
      </w:r>
      <w:r w:rsidR="00637CCE">
        <w:rPr>
          <w:rFonts w:cs="Arial"/>
        </w:rPr>
        <w:t>februarie</w:t>
      </w:r>
      <w:r w:rsidR="0059793D">
        <w:rPr>
          <w:rFonts w:cs="Arial"/>
        </w:rPr>
        <w:t xml:space="preserve"> </w:t>
      </w:r>
      <w:r w:rsidR="00B80108">
        <w:rPr>
          <w:rFonts w:cs="Arial"/>
        </w:rPr>
        <w:t>-</w:t>
      </w:r>
      <w:r w:rsidR="00564ADC">
        <w:rPr>
          <w:rFonts w:cs="Arial"/>
        </w:rPr>
        <w:t xml:space="preserve"> </w:t>
      </w:r>
      <w:r w:rsidR="00E327DA">
        <w:rPr>
          <w:rFonts w:cs="Arial"/>
        </w:rPr>
        <w:t>2</w:t>
      </w:r>
      <w:r w:rsidR="0050071C">
        <w:rPr>
          <w:rFonts w:cs="Arial"/>
        </w:rPr>
        <w:t>2</w:t>
      </w:r>
      <w:r w:rsidR="00B25430" w:rsidRPr="00872BD8">
        <w:rPr>
          <w:rFonts w:cs="Arial"/>
        </w:rPr>
        <w:t xml:space="preserve"> </w:t>
      </w:r>
      <w:r w:rsidR="00E327DA">
        <w:rPr>
          <w:rFonts w:cs="Arial"/>
        </w:rPr>
        <w:t xml:space="preserve">martie </w:t>
      </w:r>
      <w:r w:rsidR="00B25430" w:rsidRPr="00872BD8">
        <w:rPr>
          <w:rFonts w:cs="Arial"/>
        </w:rPr>
        <w:t>20</w:t>
      </w:r>
      <w:r w:rsidR="00A00893">
        <w:rPr>
          <w:rFonts w:cs="Arial"/>
        </w:rPr>
        <w:t>2</w:t>
      </w:r>
      <w:r w:rsidR="00E327DA">
        <w:rPr>
          <w:rFonts w:cs="Arial"/>
        </w:rPr>
        <w:t>6</w:t>
      </w:r>
      <w:r w:rsidR="00B25430" w:rsidRPr="00872BD8">
        <w:rPr>
          <w:rFonts w:cs="Arial"/>
        </w:rPr>
        <w:t xml:space="preserve"> </w:t>
      </w:r>
      <w:r w:rsidR="0059793D">
        <w:rPr>
          <w:rFonts w:cs="Arial"/>
        </w:rPr>
        <w:t>(</w:t>
      </w:r>
      <w:r w:rsidR="002A5882">
        <w:rPr>
          <w:rFonts w:cs="Arial"/>
        </w:rPr>
        <w:t>inclusiv</w:t>
      </w:r>
      <w:r w:rsidR="0059793D">
        <w:rPr>
          <w:rFonts w:cs="Arial"/>
        </w:rPr>
        <w:t>)</w:t>
      </w:r>
      <w:r w:rsidR="00B25430" w:rsidRPr="00872BD8">
        <w:rPr>
          <w:rFonts w:cs="Arial"/>
        </w:rPr>
        <w:t>.</w:t>
      </w:r>
    </w:p>
    <w:p w14:paraId="0DF04296" w14:textId="77777777" w:rsidR="0050071C" w:rsidRDefault="0050071C" w:rsidP="00145AED">
      <w:pPr>
        <w:ind w:left="0"/>
        <w:rPr>
          <w:rFonts w:cs="Arial"/>
        </w:rPr>
      </w:pPr>
    </w:p>
    <w:p w14:paraId="1CACF8FF" w14:textId="77777777" w:rsidR="00B25430" w:rsidRPr="00872BD8" w:rsidRDefault="00B25430" w:rsidP="00145AED">
      <w:pPr>
        <w:numPr>
          <w:ilvl w:val="0"/>
          <w:numId w:val="1"/>
        </w:numPr>
        <w:spacing w:after="0"/>
        <w:ind w:left="0"/>
        <w:rPr>
          <w:rFonts w:cs="Arial"/>
          <w:b/>
        </w:rPr>
      </w:pPr>
      <w:r w:rsidRPr="00872BD8">
        <w:rPr>
          <w:rFonts w:cs="Arial"/>
          <w:b/>
        </w:rPr>
        <w:lastRenderedPageBreak/>
        <w:t>Locul înscrierii</w:t>
      </w:r>
    </w:p>
    <w:p w14:paraId="32D90C61" w14:textId="77777777" w:rsidR="001262B0" w:rsidRDefault="00B25430" w:rsidP="00145AED">
      <w:pPr>
        <w:ind w:left="0"/>
        <w:rPr>
          <w:rFonts w:cs="Arial"/>
        </w:rPr>
      </w:pPr>
      <w:r w:rsidRPr="00872BD8">
        <w:rPr>
          <w:rFonts w:cs="Arial"/>
        </w:rPr>
        <w:t>Dosarele de înscriere se vor depune</w:t>
      </w:r>
      <w:r w:rsidR="001262B0">
        <w:rPr>
          <w:rFonts w:cs="Arial"/>
        </w:rPr>
        <w:t xml:space="preserve"> într-una din următoarele modalități:</w:t>
      </w:r>
    </w:p>
    <w:p w14:paraId="4BBCB27D" w14:textId="77777777" w:rsidR="001262B0" w:rsidRDefault="001262B0" w:rsidP="00145AED">
      <w:pPr>
        <w:ind w:left="0"/>
        <w:rPr>
          <w:rFonts w:cs="Arial"/>
        </w:rPr>
      </w:pPr>
      <w:r>
        <w:rPr>
          <w:rFonts w:cs="Arial"/>
        </w:rPr>
        <w:t xml:space="preserve">- </w:t>
      </w:r>
      <w:r w:rsidR="00654588">
        <w:rPr>
          <w:rFonts w:cs="Arial"/>
        </w:rPr>
        <w:t xml:space="preserve">personal, </w:t>
      </w:r>
      <w:r w:rsidRPr="00872BD8">
        <w:rPr>
          <w:rFonts w:cs="Arial"/>
        </w:rPr>
        <w:t xml:space="preserve">la </w:t>
      </w:r>
      <w:r>
        <w:rPr>
          <w:rFonts w:cs="Arial"/>
        </w:rPr>
        <w:t xml:space="preserve">sediul </w:t>
      </w:r>
      <w:r w:rsidRPr="00872BD8">
        <w:rPr>
          <w:rFonts w:cs="Arial"/>
        </w:rPr>
        <w:t>Ministerului Justiției</w:t>
      </w:r>
      <w:r>
        <w:rPr>
          <w:rFonts w:cs="Arial"/>
        </w:rPr>
        <w:t>, din municipiul București, strada Apolodor, nr. 17, sectorul 5;</w:t>
      </w:r>
    </w:p>
    <w:p w14:paraId="211849AB" w14:textId="77777777" w:rsidR="0057293B" w:rsidRPr="009D4E08" w:rsidRDefault="0057293B" w:rsidP="0057293B">
      <w:pPr>
        <w:ind w:left="0"/>
        <w:rPr>
          <w:rFonts w:cs="Arial"/>
        </w:rPr>
      </w:pPr>
      <w:r>
        <w:rPr>
          <w:rFonts w:cs="Arial"/>
        </w:rPr>
        <w:t>Registratura</w:t>
      </w:r>
      <w:r w:rsidRPr="009D4E08">
        <w:rPr>
          <w:rFonts w:cs="Arial"/>
        </w:rPr>
        <w:t xml:space="preserve"> Ministerului Justiției funcționează după următorul program:</w:t>
      </w:r>
    </w:p>
    <w:p w14:paraId="3BCED9F2" w14:textId="77777777" w:rsidR="0057293B" w:rsidRPr="00DF0AE5" w:rsidRDefault="0057293B" w:rsidP="0057293B">
      <w:pPr>
        <w:ind w:left="0"/>
        <w:rPr>
          <w:rFonts w:cs="Arial"/>
          <w:bCs/>
        </w:rPr>
      </w:pPr>
      <w:r w:rsidRPr="00DF0AE5">
        <w:rPr>
          <w:rFonts w:cs="Arial"/>
          <w:bCs/>
        </w:rPr>
        <w:t>Luni - Joi: 09:30 - 12:00 / 13:00 - 16:00</w:t>
      </w:r>
    </w:p>
    <w:p w14:paraId="098BF4EE" w14:textId="77777777" w:rsidR="0057293B" w:rsidRPr="00DF0AE5" w:rsidRDefault="0057293B" w:rsidP="0057293B">
      <w:pPr>
        <w:ind w:left="0"/>
        <w:rPr>
          <w:rFonts w:cs="Arial"/>
        </w:rPr>
      </w:pPr>
      <w:r w:rsidRPr="00DF0AE5">
        <w:rPr>
          <w:rFonts w:cs="Arial"/>
          <w:bCs/>
        </w:rPr>
        <w:t>Vineri:      09:30 - 12:00 / 13:00 - 14:00</w:t>
      </w:r>
      <w:r>
        <w:rPr>
          <w:rFonts w:cs="Arial"/>
          <w:bCs/>
        </w:rPr>
        <w:t>.</w:t>
      </w:r>
    </w:p>
    <w:p w14:paraId="59400409" w14:textId="77777777" w:rsidR="00B25430" w:rsidRDefault="001262B0" w:rsidP="00145AED">
      <w:pPr>
        <w:ind w:left="0"/>
        <w:rPr>
          <w:rFonts w:cs="Arial"/>
        </w:rPr>
      </w:pPr>
      <w:r>
        <w:rPr>
          <w:rFonts w:cs="Arial"/>
        </w:rPr>
        <w:t xml:space="preserve">- </w:t>
      </w:r>
      <w:r w:rsidR="00C536B9">
        <w:rPr>
          <w:rFonts w:cs="Arial"/>
        </w:rPr>
        <w:t xml:space="preserve">personal, </w:t>
      </w:r>
      <w:r>
        <w:rPr>
          <w:rFonts w:cs="Arial"/>
        </w:rPr>
        <w:t>l</w:t>
      </w:r>
      <w:r w:rsidR="00B25430" w:rsidRPr="00872BD8">
        <w:rPr>
          <w:rFonts w:cs="Arial"/>
        </w:rPr>
        <w:t xml:space="preserve">a Biroul </w:t>
      </w:r>
      <w:r w:rsidR="003C150D">
        <w:rPr>
          <w:rFonts w:cs="Arial"/>
        </w:rPr>
        <w:t>l</w:t>
      </w:r>
      <w:r w:rsidR="00B25430" w:rsidRPr="00872BD8">
        <w:rPr>
          <w:rFonts w:cs="Arial"/>
        </w:rPr>
        <w:t xml:space="preserve">ocal pentru </w:t>
      </w:r>
      <w:r w:rsidR="003C150D">
        <w:rPr>
          <w:rFonts w:cs="Arial"/>
        </w:rPr>
        <w:t>e</w:t>
      </w:r>
      <w:r w:rsidR="00B25430" w:rsidRPr="00872BD8">
        <w:rPr>
          <w:rFonts w:cs="Arial"/>
        </w:rPr>
        <w:t xml:space="preserve">xpertize </w:t>
      </w:r>
      <w:r w:rsidR="003C150D">
        <w:rPr>
          <w:rFonts w:cs="Arial"/>
        </w:rPr>
        <w:t>j</w:t>
      </w:r>
      <w:r w:rsidR="00B25430" w:rsidRPr="00872BD8">
        <w:rPr>
          <w:rFonts w:cs="Arial"/>
        </w:rPr>
        <w:t xml:space="preserve">udiciare </w:t>
      </w:r>
      <w:r w:rsidR="003C150D">
        <w:rPr>
          <w:rFonts w:cs="Arial"/>
        </w:rPr>
        <w:t>t</w:t>
      </w:r>
      <w:r w:rsidR="00B25430" w:rsidRPr="00872BD8">
        <w:rPr>
          <w:rFonts w:cs="Arial"/>
        </w:rPr>
        <w:t xml:space="preserve">ehnice </w:t>
      </w:r>
      <w:r w:rsidR="003C150D" w:rsidRPr="00872BD8">
        <w:rPr>
          <w:rFonts w:cs="Arial"/>
        </w:rPr>
        <w:t>și</w:t>
      </w:r>
      <w:r w:rsidR="00B25430" w:rsidRPr="00872BD8">
        <w:rPr>
          <w:rFonts w:cs="Arial"/>
        </w:rPr>
        <w:t xml:space="preserve"> </w:t>
      </w:r>
      <w:r w:rsidR="003C150D">
        <w:rPr>
          <w:rFonts w:cs="Arial"/>
        </w:rPr>
        <w:t>c</w:t>
      </w:r>
      <w:r w:rsidR="00B25430" w:rsidRPr="00872BD8">
        <w:rPr>
          <w:rFonts w:cs="Arial"/>
        </w:rPr>
        <w:t>ontabile din cadrul tribunalului în raza căruia domiciliază candidatul</w:t>
      </w:r>
      <w:r w:rsidR="00C536B9">
        <w:rPr>
          <w:rFonts w:cs="Arial"/>
        </w:rPr>
        <w:t>;</w:t>
      </w:r>
    </w:p>
    <w:p w14:paraId="07E7A23E" w14:textId="1CF47A6D" w:rsidR="00C536B9" w:rsidRDefault="00C536B9" w:rsidP="00145AED">
      <w:pPr>
        <w:ind w:left="0"/>
        <w:rPr>
          <w:rFonts w:cs="Arial"/>
        </w:rPr>
      </w:pPr>
      <w:r>
        <w:rPr>
          <w:rFonts w:cs="Arial"/>
        </w:rPr>
        <w:t xml:space="preserve">- </w:t>
      </w:r>
      <w:r w:rsidRPr="00872BD8">
        <w:rPr>
          <w:rFonts w:cs="Arial"/>
        </w:rPr>
        <w:t>prin servicii poștale</w:t>
      </w:r>
      <w:r>
        <w:rPr>
          <w:rFonts w:cs="Arial"/>
        </w:rPr>
        <w:t xml:space="preserve"> ori de curierat rapid (fără indicarea unei persoane de contact din cadrul destinatarului)</w:t>
      </w:r>
      <w:r w:rsidR="00D748FD">
        <w:rPr>
          <w:rFonts w:cs="Arial"/>
        </w:rPr>
        <w:t>;</w:t>
      </w:r>
    </w:p>
    <w:p w14:paraId="5AE34051" w14:textId="238D1989" w:rsidR="006514B7" w:rsidRDefault="006514B7" w:rsidP="00145AED">
      <w:pPr>
        <w:ind w:left="0"/>
        <w:rPr>
          <w:rFonts w:cs="Arial"/>
        </w:rPr>
      </w:pPr>
      <w:r>
        <w:rPr>
          <w:rFonts w:cs="Arial"/>
        </w:rPr>
        <w:t xml:space="preserve">- </w:t>
      </w:r>
      <w:r w:rsidRPr="006514B7">
        <w:rPr>
          <w:rFonts w:cs="Arial"/>
        </w:rPr>
        <w:t> prin mijloace electronice, respectiv prin Punctul de contact unic electronic</w:t>
      </w:r>
      <w:r w:rsidR="00914730">
        <w:rPr>
          <w:rFonts w:cs="Arial"/>
        </w:rPr>
        <w:t xml:space="preserve"> (</w:t>
      </w:r>
      <w:hyperlink r:id="rId8" w:history="1">
        <w:r w:rsidR="00914730" w:rsidRPr="0010588E">
          <w:rPr>
            <w:rStyle w:val="Hyperlink"/>
            <w:rFonts w:cs="Arial"/>
          </w:rPr>
          <w:t>https://edirect.e-guvernare.ro</w:t>
        </w:r>
      </w:hyperlink>
      <w:r w:rsidR="00914730">
        <w:rPr>
          <w:rFonts w:cs="Arial"/>
        </w:rPr>
        <w:t>)</w:t>
      </w:r>
      <w:r w:rsidRPr="006514B7">
        <w:rPr>
          <w:rFonts w:cs="Arial"/>
        </w:rPr>
        <w:t xml:space="preserve"> ori la adresa de e-mail </w:t>
      </w:r>
      <w:hyperlink r:id="rId9" w:history="1">
        <w:r w:rsidR="001316D0" w:rsidRPr="007C2D1A">
          <w:rPr>
            <w:rStyle w:val="Hyperlink"/>
          </w:rPr>
          <w:t>examenauto2026@just.ro</w:t>
        </w:r>
      </w:hyperlink>
      <w:r w:rsidR="001316D0">
        <w:rPr>
          <w:rFonts w:cs="Arial"/>
        </w:rPr>
        <w:t xml:space="preserve"> .</w:t>
      </w:r>
    </w:p>
    <w:p w14:paraId="0CDE5A1A" w14:textId="4B34B73F" w:rsidR="00FF60EC" w:rsidRPr="00F95414" w:rsidRDefault="00FF60EC" w:rsidP="00145AED">
      <w:pPr>
        <w:ind w:left="0"/>
        <w:rPr>
          <w:rFonts w:cs="Arial"/>
          <w:b/>
        </w:rPr>
      </w:pPr>
      <w:r w:rsidRPr="00F95414">
        <w:rPr>
          <w:rFonts w:cs="Arial"/>
          <w:b/>
        </w:rPr>
        <w:t xml:space="preserve">Atenție! </w:t>
      </w:r>
      <w:r w:rsidR="00583CCD" w:rsidRPr="00F95414">
        <w:rPr>
          <w:rFonts w:cs="Arial"/>
          <w:b/>
        </w:rPr>
        <w:t>Pentru adresa de</w:t>
      </w:r>
      <w:r w:rsidRPr="00F95414">
        <w:rPr>
          <w:rFonts w:cs="Arial"/>
          <w:b/>
        </w:rPr>
        <w:t xml:space="preserve"> e-mail </w:t>
      </w:r>
      <w:hyperlink r:id="rId10" w:history="1">
        <w:r w:rsidR="001316D0" w:rsidRPr="007C2D1A">
          <w:rPr>
            <w:rStyle w:val="Hyperlink"/>
            <w:rFonts w:cs="Arial"/>
            <w:b/>
          </w:rPr>
          <w:t>examenauto2026@just.ro</w:t>
        </w:r>
      </w:hyperlink>
      <w:r w:rsidRPr="00F95414">
        <w:rPr>
          <w:rStyle w:val="Hyperlink"/>
          <w:rFonts w:cs="Arial"/>
          <w:b/>
        </w:rPr>
        <w:t>,</w:t>
      </w:r>
      <w:r w:rsidRPr="00F95414">
        <w:rPr>
          <w:rStyle w:val="Hyperlink"/>
          <w:rFonts w:cs="Arial"/>
          <w:b/>
          <w:color w:val="auto"/>
          <w:u w:val="none"/>
        </w:rPr>
        <w:t xml:space="preserve"> d</w:t>
      </w:r>
      <w:r w:rsidRPr="00F95414">
        <w:rPr>
          <w:rFonts w:cs="Arial"/>
          <w:b/>
        </w:rPr>
        <w:t xml:space="preserve">imensiunea maximă a atașamentelor, permisă de sistemul informatic, este </w:t>
      </w:r>
      <w:r w:rsidRPr="00422C11">
        <w:rPr>
          <w:rFonts w:cs="Arial"/>
          <w:b/>
        </w:rPr>
        <w:t xml:space="preserve">de </w:t>
      </w:r>
      <w:r w:rsidR="00422C11" w:rsidRPr="00422C11">
        <w:rPr>
          <w:rFonts w:cs="Arial"/>
          <w:b/>
        </w:rPr>
        <w:t>20</w:t>
      </w:r>
      <w:r w:rsidRPr="00422C11">
        <w:rPr>
          <w:rFonts w:cs="Arial"/>
          <w:b/>
        </w:rPr>
        <w:t xml:space="preserve"> MB</w:t>
      </w:r>
      <w:r w:rsidRPr="00F95414">
        <w:rPr>
          <w:rFonts w:cs="Arial"/>
          <w:b/>
        </w:rPr>
        <w:t>.</w:t>
      </w:r>
    </w:p>
    <w:p w14:paraId="2DAE4E53" w14:textId="64DA1908" w:rsidR="00FF60EC" w:rsidRPr="00F95414" w:rsidRDefault="00F95414" w:rsidP="00145AED">
      <w:pPr>
        <w:ind w:left="0"/>
        <w:rPr>
          <w:rFonts w:cs="Arial"/>
          <w:b/>
        </w:rPr>
      </w:pPr>
      <w:r w:rsidRPr="00F95414">
        <w:rPr>
          <w:rFonts w:cs="Arial"/>
          <w:b/>
        </w:rPr>
        <w:t>În cazul în care sistemul informatic a returnat un mesaj privind eventuale erori la transmiterea e-mailului, candidații vor retransmite în termen dosarul de înscriere, respectând dimensiunea maximă</w:t>
      </w:r>
      <w:r w:rsidR="008C7105">
        <w:rPr>
          <w:rFonts w:cs="Arial"/>
          <w:b/>
        </w:rPr>
        <w:t xml:space="preserve"> permisă</w:t>
      </w:r>
      <w:r w:rsidRPr="00F95414">
        <w:rPr>
          <w:rFonts w:cs="Arial"/>
          <w:b/>
        </w:rPr>
        <w:t xml:space="preserve"> a atașamentelor.</w:t>
      </w:r>
    </w:p>
    <w:p w14:paraId="4B198AF7" w14:textId="769D1CD2" w:rsidR="00B25430" w:rsidRPr="00872BD8" w:rsidRDefault="00B25430" w:rsidP="00145AED">
      <w:pPr>
        <w:numPr>
          <w:ilvl w:val="0"/>
          <w:numId w:val="1"/>
        </w:numPr>
        <w:spacing w:after="0"/>
        <w:ind w:left="0"/>
        <w:rPr>
          <w:rFonts w:cs="Arial"/>
          <w:b/>
        </w:rPr>
      </w:pPr>
      <w:r w:rsidRPr="00872BD8">
        <w:rPr>
          <w:rFonts w:cs="Arial"/>
          <w:b/>
        </w:rPr>
        <w:t>Dosarul de înscriere</w:t>
      </w:r>
      <w:r w:rsidR="001316D0">
        <w:rPr>
          <w:rFonts w:cs="Arial"/>
          <w:b/>
        </w:rPr>
        <w:t xml:space="preserve"> </w:t>
      </w:r>
    </w:p>
    <w:p w14:paraId="2DF501F8" w14:textId="77777777" w:rsidR="00B25430" w:rsidRPr="00872BD8" w:rsidRDefault="00B25430" w:rsidP="00145AED">
      <w:pPr>
        <w:ind w:left="0"/>
        <w:rPr>
          <w:rFonts w:cs="Arial"/>
        </w:rPr>
      </w:pPr>
      <w:r w:rsidRPr="00872BD8">
        <w:rPr>
          <w:rFonts w:cs="Arial"/>
        </w:rPr>
        <w:t>Dosarul de înscriere va cuprinde:</w:t>
      </w:r>
    </w:p>
    <w:p w14:paraId="2B595193" w14:textId="6DE6883D" w:rsidR="009E6E0D" w:rsidRPr="00B018EA" w:rsidRDefault="00B25430" w:rsidP="00145AED">
      <w:pPr>
        <w:ind w:left="0"/>
        <w:rPr>
          <w:rFonts w:cs="Arial"/>
        </w:rPr>
      </w:pPr>
      <w:r w:rsidRPr="00B018EA">
        <w:rPr>
          <w:rFonts w:cs="Arial"/>
        </w:rPr>
        <w:t xml:space="preserve">a) </w:t>
      </w:r>
      <w:r w:rsidR="00760EDB" w:rsidRPr="00B018EA">
        <w:rPr>
          <w:rFonts w:cs="Arial"/>
        </w:rPr>
        <w:t>cerere de înscriere, care se va redacta în limba română și în care se vor înscrie date privind solicitantul: nume și prenume, cod numeric personal, cetățenie, adresă de domiciliu în statul membru UE sau SEE și, dacă există, adresă de reședință, telefon, fax, e-mail. În cerere se va face mențiune despre sesiunea de examen și specializarea pentru care candidează</w:t>
      </w:r>
      <w:r w:rsidRPr="00B018EA">
        <w:rPr>
          <w:rFonts w:cs="Arial"/>
        </w:rPr>
        <w:t>;</w:t>
      </w:r>
    </w:p>
    <w:p w14:paraId="15089126" w14:textId="0BA321D2" w:rsidR="00760EDB" w:rsidRPr="00760EDB" w:rsidRDefault="00DB323F" w:rsidP="00760EDB">
      <w:pPr>
        <w:ind w:left="0"/>
        <w:rPr>
          <w:rFonts w:cs="Arial"/>
          <w:bCs/>
        </w:rPr>
      </w:pPr>
      <w:r>
        <w:rPr>
          <w:rFonts w:cs="Arial"/>
          <w:bCs/>
        </w:rPr>
        <w:t>b</w:t>
      </w:r>
      <w:r w:rsidR="00760EDB" w:rsidRPr="00760EDB">
        <w:rPr>
          <w:rFonts w:cs="Arial"/>
          <w:bCs/>
        </w:rPr>
        <w:t>) copia actului de identitate și, dacă este necesar, a altui act doveditor al cetățeniei unuia dintre statele membre ale UE sau aparținând SEE;</w:t>
      </w:r>
    </w:p>
    <w:p w14:paraId="04B52577" w14:textId="61921F20" w:rsidR="00760EDB" w:rsidRPr="00760EDB" w:rsidRDefault="00DB323F" w:rsidP="00760EDB">
      <w:pPr>
        <w:ind w:left="0"/>
        <w:rPr>
          <w:rFonts w:cs="Arial"/>
          <w:bCs/>
        </w:rPr>
      </w:pPr>
      <w:r>
        <w:rPr>
          <w:rFonts w:cs="Arial"/>
          <w:bCs/>
        </w:rPr>
        <w:t>c</w:t>
      </w:r>
      <w:r w:rsidR="00760EDB" w:rsidRPr="00760EDB">
        <w:rPr>
          <w:rFonts w:cs="Arial"/>
          <w:bCs/>
        </w:rPr>
        <w:t>) copia atestatului de cunoaștere a limbii române de către cetățeanul statului membru UE sau SEE, altul decât România. Dacă documentul este emis în altă limbă decât cea română, se va depune și copia traducerii în limba română a documentului respectiv, efectuată de un traducător autorizat de Ministerul Justiției;</w:t>
      </w:r>
    </w:p>
    <w:p w14:paraId="346B04B9" w14:textId="311A4848" w:rsidR="00760EDB" w:rsidRPr="00760EDB" w:rsidRDefault="00DB323F" w:rsidP="00760EDB">
      <w:pPr>
        <w:ind w:left="0"/>
        <w:rPr>
          <w:rFonts w:cs="Arial"/>
          <w:bCs/>
        </w:rPr>
      </w:pPr>
      <w:r>
        <w:rPr>
          <w:rFonts w:cs="Arial"/>
          <w:bCs/>
        </w:rPr>
        <w:t>d</w:t>
      </w:r>
      <w:r w:rsidR="00760EDB" w:rsidRPr="00760EDB">
        <w:rPr>
          <w:rFonts w:cs="Arial"/>
          <w:bCs/>
        </w:rPr>
        <w:t>) declarație pe propria răspundere că are capacitatea de exercițiu deplină, în original sau în copie, redactată în limba română;</w:t>
      </w:r>
    </w:p>
    <w:p w14:paraId="08A0F36B" w14:textId="4969ED07" w:rsidR="00760EDB" w:rsidRPr="00760EDB" w:rsidRDefault="00DB323F" w:rsidP="00760EDB">
      <w:pPr>
        <w:ind w:left="0"/>
        <w:rPr>
          <w:rFonts w:cs="Arial"/>
          <w:bCs/>
        </w:rPr>
      </w:pPr>
      <w:r>
        <w:rPr>
          <w:rFonts w:cs="Arial"/>
          <w:bCs/>
        </w:rPr>
        <w:t>e</w:t>
      </w:r>
      <w:r w:rsidR="00760EDB" w:rsidRPr="00760EDB">
        <w:rPr>
          <w:rFonts w:cs="Arial"/>
          <w:bCs/>
        </w:rPr>
        <w:t>) copia diplomei de absolvire a instituției de învățământ superior. Dacă diploma a fost obținută într-un stat membru al UE ori aparținând SEE, altul decât România, se va depune și dovada recunoașterii diplomei potrivit Legii nr. 200/2004, cu modificările și completările ulterioare. Dacă documentul este emis în altă limbă decât cea română, se va depune și copia traducerii în limba română a documentului respectiv, efectuată de un traducător autorizat de Ministerul Justiției;</w:t>
      </w:r>
    </w:p>
    <w:p w14:paraId="28557821" w14:textId="6D90C5E4" w:rsidR="00241270" w:rsidRPr="00241270" w:rsidRDefault="00DB323F" w:rsidP="00241270">
      <w:pPr>
        <w:ind w:left="0"/>
        <w:rPr>
          <w:rFonts w:cs="Arial"/>
          <w:bCs/>
        </w:rPr>
      </w:pPr>
      <w:r>
        <w:rPr>
          <w:rFonts w:cs="Arial"/>
          <w:bCs/>
        </w:rPr>
        <w:lastRenderedPageBreak/>
        <w:t>f</w:t>
      </w:r>
      <w:r w:rsidR="00760EDB" w:rsidRPr="00760EDB">
        <w:rPr>
          <w:rFonts w:cs="Arial"/>
          <w:bCs/>
        </w:rPr>
        <w:t xml:space="preserve">) </w:t>
      </w:r>
      <w:r w:rsidR="00241270" w:rsidRPr="00241270">
        <w:rPr>
          <w:rFonts w:cs="Arial"/>
          <w:bCs/>
        </w:rPr>
        <w:t>copia documentului prin care se face dovada, conform legislației țării emitente, că îndeplinește condiția privind stagiul de cel puțin 3 ani în</w:t>
      </w:r>
      <w:r w:rsidR="00241270" w:rsidRPr="00760EDB">
        <w:rPr>
          <w:rFonts w:cs="Arial"/>
          <w:bCs/>
        </w:rPr>
        <w:t xml:space="preserve"> specialitatea în care a obținut diploma</w:t>
      </w:r>
      <w:r w:rsidR="00241270" w:rsidRPr="00241270">
        <w:rPr>
          <w:rFonts w:cs="Arial"/>
          <w:bCs/>
        </w:rPr>
        <w:t>, respectiv înscrisuri completate/eliberate de angajatori pentru perioadele lucrate, care să ateste vechimea în specialitate (carnet de muncă, extras Revisal</w:t>
      </w:r>
      <w:r w:rsidR="00241270">
        <w:rPr>
          <w:rStyle w:val="FootnoteReference"/>
          <w:rFonts w:cs="Arial"/>
          <w:bCs/>
        </w:rPr>
        <w:footnoteReference w:id="2"/>
      </w:r>
      <w:r w:rsidR="00241270" w:rsidRPr="00241270">
        <w:rPr>
          <w:rFonts w:cs="Arial"/>
          <w:bCs/>
        </w:rPr>
        <w:t xml:space="preserve"> , adeverință etc.), iar persoanele care au desfășurat/desfășoară activități conform prevederilor Ordonanței de urgență a Guvernului nr. 44/2008 privind desfășurarea activităților economice de către persoanele fizice autorizate, cu modificările și completările ulterioare, vor depune și o declarație pe propria răspundere privind conformitatea şi corectitudinea datelor din cuprinsul înscrisului din care rezultă vechimea/experiența profesională</w:t>
      </w:r>
      <w:r w:rsidR="00165A0E">
        <w:rPr>
          <w:rFonts w:cs="Arial"/>
          <w:bCs/>
        </w:rPr>
        <w:t xml:space="preserve">, precum şi cu privire la eventuale </w:t>
      </w:r>
      <w:r w:rsidR="006B7298" w:rsidRPr="006B7298">
        <w:rPr>
          <w:rFonts w:cs="Arial"/>
          <w:bCs/>
        </w:rPr>
        <w:t>perioad</w:t>
      </w:r>
      <w:r w:rsidR="006B7298">
        <w:rPr>
          <w:rFonts w:cs="Arial"/>
          <w:bCs/>
        </w:rPr>
        <w:t>e</w:t>
      </w:r>
      <w:r w:rsidR="006B7298" w:rsidRPr="006B7298">
        <w:rPr>
          <w:rFonts w:cs="Arial"/>
          <w:bCs/>
        </w:rPr>
        <w:t xml:space="preserve"> în care PFA nu a avut activitate generatoare de venit sau a avut activitatea suspendată</w:t>
      </w:r>
      <w:r w:rsidR="00241270" w:rsidRPr="00241270">
        <w:rPr>
          <w:rFonts w:cs="Arial"/>
          <w:bCs/>
        </w:rPr>
        <w:t>;</w:t>
      </w:r>
    </w:p>
    <w:p w14:paraId="71EE4DDF" w14:textId="098E683E" w:rsidR="00241270" w:rsidRPr="00241270" w:rsidRDefault="00241270" w:rsidP="00241270">
      <w:pPr>
        <w:ind w:left="0"/>
        <w:rPr>
          <w:rFonts w:cs="Arial"/>
          <w:bCs/>
        </w:rPr>
      </w:pPr>
      <w:r w:rsidRPr="00760EDB">
        <w:rPr>
          <w:rFonts w:cs="Arial"/>
          <w:bCs/>
        </w:rPr>
        <w:t>Dacă documentul este emis în altă limbă decât cea română, se va depune și copia traducerii în limba română a documentului respectiv, efectuată de un traducător autorizat de Ministerul Justiției</w:t>
      </w:r>
      <w:r w:rsidRPr="00241270">
        <w:rPr>
          <w:rFonts w:cs="Arial"/>
          <w:bCs/>
        </w:rPr>
        <w:t>;</w:t>
      </w:r>
      <w:r>
        <w:rPr>
          <w:rFonts w:cs="Arial"/>
          <w:bCs/>
        </w:rPr>
        <w:t xml:space="preserve"> </w:t>
      </w:r>
    </w:p>
    <w:p w14:paraId="3A74727A" w14:textId="1A7F11D3" w:rsidR="00F47197" w:rsidRPr="00F47197" w:rsidRDefault="00F47197" w:rsidP="00760EDB">
      <w:pPr>
        <w:ind w:left="0"/>
        <w:rPr>
          <w:rFonts w:cs="Arial"/>
          <w:b/>
          <w:i/>
        </w:rPr>
      </w:pPr>
      <w:r w:rsidRPr="00241270">
        <w:rPr>
          <w:rFonts w:cs="Arial"/>
          <w:b/>
        </w:rPr>
        <w:t>*Notă: Potrivit dispozițiilor art. 18</w:t>
      </w:r>
      <w:r w:rsidRPr="00241270">
        <w:rPr>
          <w:rFonts w:cs="Arial"/>
          <w:b/>
          <w:vertAlign w:val="superscript"/>
        </w:rPr>
        <w:t>1</w:t>
      </w:r>
      <w:r w:rsidRPr="00241270">
        <w:rPr>
          <w:rFonts w:cs="Arial"/>
          <w:b/>
        </w:rPr>
        <w:t xml:space="preserve"> alin. (2) din O.U.G. nr. 44/2008 privind desfășurarea activităților economice de către persoanele fizice autorizate, întreprinderile individuale şi întreprinderile familiale, cu modificările și completările ulterioare, </w:t>
      </w:r>
      <w:r w:rsidRPr="00241270">
        <w:rPr>
          <w:rFonts w:cs="Arial"/>
          <w:b/>
          <w:i/>
        </w:rPr>
        <w:t>„Vechimea în muncă şi, după caz, vechimea în specialitate este considerată perioada în care PFA a desfășurat activitate economică şi a achitat contribuțiile, taxele şi impozitele legale, nefiind luată în considerare perioada în care PFA nu a avut activitate generatoare de venit sau a avut activitatea suspendată.”</w:t>
      </w:r>
    </w:p>
    <w:p w14:paraId="205A91F2" w14:textId="1BDA40C2" w:rsidR="00760EDB" w:rsidRPr="00760EDB" w:rsidRDefault="00DB323F" w:rsidP="00760EDB">
      <w:pPr>
        <w:ind w:left="0"/>
        <w:rPr>
          <w:rFonts w:cs="Arial"/>
          <w:bCs/>
        </w:rPr>
      </w:pPr>
      <w:r>
        <w:rPr>
          <w:rFonts w:cs="Arial"/>
          <w:bCs/>
        </w:rPr>
        <w:t>g</w:t>
      </w:r>
      <w:r w:rsidR="00760EDB" w:rsidRPr="00760EDB">
        <w:rPr>
          <w:rFonts w:cs="Arial"/>
          <w:bCs/>
        </w:rPr>
        <w:t xml:space="preserve">) certificatul de cazier judiciar, în original sau în copie, ori </w:t>
      </w:r>
      <w:r w:rsidR="00760EDB" w:rsidRPr="00207FEE">
        <w:rPr>
          <w:rFonts w:cs="Arial"/>
          <w:bCs/>
        </w:rPr>
        <w:t>consimțământul expres al candidatului exprimat printr-o declarație scrisă pentru obținerea de către Ministerul Justiției a extrasului de pe cazierul judiciar, potrivit legii. Dacă certificatul</w:t>
      </w:r>
      <w:r w:rsidR="00760EDB" w:rsidRPr="00760EDB">
        <w:rPr>
          <w:rFonts w:cs="Arial"/>
          <w:bCs/>
        </w:rPr>
        <w:t xml:space="preserve"> de cazier judiciar este emis în altă limbă decât cea română, se va depune și copia traducerii în limba română a documentului respectiv, efectuată de un traducător autorizat de Ministerul Justiției;</w:t>
      </w:r>
    </w:p>
    <w:p w14:paraId="4D9DA9B6" w14:textId="2FE40840" w:rsidR="00760EDB" w:rsidRPr="00760EDB" w:rsidRDefault="00DB323F" w:rsidP="00760EDB">
      <w:pPr>
        <w:ind w:left="0"/>
        <w:rPr>
          <w:rFonts w:cs="Arial"/>
          <w:bCs/>
        </w:rPr>
      </w:pPr>
      <w:r>
        <w:rPr>
          <w:rFonts w:cs="Arial"/>
          <w:bCs/>
        </w:rPr>
        <w:t>h</w:t>
      </w:r>
      <w:r w:rsidR="00760EDB" w:rsidRPr="00760EDB">
        <w:rPr>
          <w:rFonts w:cs="Arial"/>
          <w:bCs/>
        </w:rPr>
        <w:t>) recomandare privind buna reputație profesională și socială, în original sau în copie, obținută de la locul de muncă, asociații profesionale din domeniu sau, după caz, de la alte organizații și instituții cu care a colaborat. Dacă documentul este emis în altă limbă decât cea română, se va depune și copia traducerii în limba română a documentului respectiv, efectuată de un traducător autorizat de Ministerul Justiției;</w:t>
      </w:r>
    </w:p>
    <w:p w14:paraId="348478D2" w14:textId="2E4435AA" w:rsidR="00760EDB" w:rsidRPr="00760EDB" w:rsidRDefault="00DB323F" w:rsidP="00760EDB">
      <w:pPr>
        <w:ind w:left="0"/>
        <w:rPr>
          <w:rFonts w:cs="Arial"/>
          <w:bCs/>
        </w:rPr>
      </w:pPr>
      <w:r>
        <w:rPr>
          <w:rFonts w:cs="Arial"/>
          <w:bCs/>
        </w:rPr>
        <w:t>i</w:t>
      </w:r>
      <w:r w:rsidR="00760EDB" w:rsidRPr="00760EDB">
        <w:rPr>
          <w:rFonts w:cs="Arial"/>
          <w:bCs/>
        </w:rPr>
        <w:t xml:space="preserve">) dovada plății taxei de înscriere la </w:t>
      </w:r>
      <w:r w:rsidR="00C42798">
        <w:rPr>
          <w:rFonts w:cs="Arial"/>
          <w:bCs/>
        </w:rPr>
        <w:t>examen</w:t>
      </w:r>
      <w:r w:rsidR="00760EDB" w:rsidRPr="00760EDB">
        <w:rPr>
          <w:rFonts w:cs="Arial"/>
          <w:bCs/>
        </w:rPr>
        <w:t>;</w:t>
      </w:r>
    </w:p>
    <w:p w14:paraId="174B2E27" w14:textId="785BBC44" w:rsidR="00760EDB" w:rsidRPr="00760EDB" w:rsidRDefault="00DB323F" w:rsidP="00760EDB">
      <w:pPr>
        <w:ind w:left="0"/>
        <w:rPr>
          <w:rFonts w:cs="Arial"/>
          <w:bCs/>
        </w:rPr>
      </w:pPr>
      <w:r>
        <w:rPr>
          <w:rFonts w:cs="Arial"/>
          <w:bCs/>
        </w:rPr>
        <w:t>j</w:t>
      </w:r>
      <w:r w:rsidR="00760EDB" w:rsidRPr="00760EDB">
        <w:rPr>
          <w:rFonts w:cs="Arial"/>
          <w:bCs/>
        </w:rPr>
        <w:t>) fișa de aptitudine eliberată de medicul de medicina muncii, în original sau în copie.</w:t>
      </w:r>
    </w:p>
    <w:p w14:paraId="5F50AB42" w14:textId="75F79AC1" w:rsidR="0023440A" w:rsidRPr="00760EDB" w:rsidRDefault="00DB323F" w:rsidP="00760EDB">
      <w:pPr>
        <w:ind w:left="0"/>
        <w:rPr>
          <w:rFonts w:cs="Arial"/>
          <w:bCs/>
        </w:rPr>
      </w:pPr>
      <w:r>
        <w:rPr>
          <w:rFonts w:cs="Arial"/>
          <w:bCs/>
        </w:rPr>
        <w:t>k</w:t>
      </w:r>
      <w:r w:rsidR="0023440A" w:rsidRPr="00760EDB">
        <w:rPr>
          <w:rFonts w:cs="Arial"/>
          <w:bCs/>
        </w:rPr>
        <w:t>) acordul privind prelucrarea datelor cu caracter personal.</w:t>
      </w:r>
    </w:p>
    <w:p w14:paraId="34C6F9BD" w14:textId="77777777" w:rsidR="00B25430" w:rsidRPr="00872BD8" w:rsidRDefault="00B25430" w:rsidP="00145AED">
      <w:pPr>
        <w:pStyle w:val="ListParagraph"/>
        <w:numPr>
          <w:ilvl w:val="0"/>
          <w:numId w:val="1"/>
        </w:numPr>
        <w:spacing w:after="0"/>
        <w:ind w:left="0"/>
        <w:jc w:val="both"/>
        <w:rPr>
          <w:rFonts w:ascii="Trebuchet MS" w:hAnsi="Trebuchet MS" w:cs="Arial"/>
          <w:b/>
        </w:rPr>
      </w:pPr>
      <w:r w:rsidRPr="00872BD8">
        <w:rPr>
          <w:rFonts w:ascii="Trebuchet MS" w:hAnsi="Trebuchet MS" w:cs="Arial"/>
          <w:b/>
        </w:rPr>
        <w:t>Taxa de înscriere</w:t>
      </w:r>
    </w:p>
    <w:p w14:paraId="50679DAD" w14:textId="046DE525" w:rsidR="00B25430" w:rsidRPr="00872BD8" w:rsidRDefault="00CB4118" w:rsidP="00145AED">
      <w:pPr>
        <w:ind w:left="0"/>
        <w:rPr>
          <w:rFonts w:cs="Arial"/>
        </w:rPr>
      </w:pPr>
      <w:r>
        <w:rPr>
          <w:rFonts w:cs="Arial"/>
        </w:rPr>
        <w:t>1</w:t>
      </w:r>
      <w:r w:rsidR="0050071C">
        <w:rPr>
          <w:rFonts w:cs="Arial"/>
        </w:rPr>
        <w:t>.</w:t>
      </w:r>
      <w:r>
        <w:rPr>
          <w:rFonts w:cs="Arial"/>
        </w:rPr>
        <w:t>000</w:t>
      </w:r>
      <w:r w:rsidR="00B25430" w:rsidRPr="00872BD8">
        <w:rPr>
          <w:rFonts w:cs="Arial"/>
        </w:rPr>
        <w:t xml:space="preserve"> lei. </w:t>
      </w:r>
    </w:p>
    <w:p w14:paraId="3218E3C5" w14:textId="40C49386" w:rsidR="00B25430" w:rsidRPr="00872BD8" w:rsidRDefault="00B25430" w:rsidP="00145AED">
      <w:pPr>
        <w:ind w:left="0"/>
        <w:rPr>
          <w:rFonts w:cs="Arial"/>
        </w:rPr>
      </w:pPr>
      <w:r w:rsidRPr="00872BD8">
        <w:rPr>
          <w:rFonts w:cs="Arial"/>
        </w:rPr>
        <w:t xml:space="preserve">Taxa de înscriere la </w:t>
      </w:r>
      <w:r w:rsidR="00C42798">
        <w:rPr>
          <w:rFonts w:cs="Arial"/>
        </w:rPr>
        <w:t>examen</w:t>
      </w:r>
      <w:r w:rsidRPr="00872BD8">
        <w:rPr>
          <w:rFonts w:cs="Arial"/>
        </w:rPr>
        <w:t xml:space="preserve"> se poate plăti la casieria Ministerului </w:t>
      </w:r>
      <w:r w:rsidR="00E544E0" w:rsidRPr="00872BD8">
        <w:rPr>
          <w:rFonts w:cs="Arial"/>
        </w:rPr>
        <w:t>Justiției</w:t>
      </w:r>
      <w:r w:rsidRPr="00872BD8">
        <w:rPr>
          <w:rFonts w:cs="Arial"/>
        </w:rPr>
        <w:t xml:space="preserve"> din </w:t>
      </w:r>
      <w:r w:rsidR="00E544E0">
        <w:rPr>
          <w:rFonts w:cs="Arial"/>
        </w:rPr>
        <w:t xml:space="preserve">municipiul </w:t>
      </w:r>
      <w:r w:rsidR="00E544E0" w:rsidRPr="00872BD8">
        <w:rPr>
          <w:rFonts w:cs="Arial"/>
        </w:rPr>
        <w:t>București</w:t>
      </w:r>
      <w:r w:rsidRPr="00872BD8">
        <w:rPr>
          <w:rFonts w:cs="Arial"/>
        </w:rPr>
        <w:t xml:space="preserve">, str. Apolodor, nr. 17, </w:t>
      </w:r>
      <w:r w:rsidR="00E544E0">
        <w:rPr>
          <w:rFonts w:cs="Arial"/>
        </w:rPr>
        <w:t>s</w:t>
      </w:r>
      <w:r w:rsidRPr="00872BD8">
        <w:rPr>
          <w:rFonts w:cs="Arial"/>
        </w:rPr>
        <w:t>ector</w:t>
      </w:r>
      <w:r w:rsidR="00E544E0">
        <w:rPr>
          <w:rFonts w:cs="Arial"/>
        </w:rPr>
        <w:t>ul</w:t>
      </w:r>
      <w:r w:rsidRPr="00872BD8">
        <w:rPr>
          <w:rFonts w:cs="Arial"/>
        </w:rPr>
        <w:t xml:space="preserve"> 5</w:t>
      </w:r>
      <w:r w:rsidR="00F25A6E">
        <w:rPr>
          <w:rFonts w:cs="Arial"/>
        </w:rPr>
        <w:t>,</w:t>
      </w:r>
      <w:r w:rsidRPr="00872BD8">
        <w:rPr>
          <w:rFonts w:cs="Arial"/>
        </w:rPr>
        <w:t xml:space="preserve"> sau în contul bancar al Ministerului </w:t>
      </w:r>
      <w:r w:rsidR="00E544E0" w:rsidRPr="00872BD8">
        <w:rPr>
          <w:rFonts w:cs="Arial"/>
        </w:rPr>
        <w:t>Justiției</w:t>
      </w:r>
      <w:r w:rsidRPr="00872BD8">
        <w:rPr>
          <w:rFonts w:cs="Arial"/>
        </w:rPr>
        <w:t xml:space="preserve">: </w:t>
      </w:r>
    </w:p>
    <w:p w14:paraId="7FE6C1F2" w14:textId="77777777" w:rsidR="00B25430" w:rsidRPr="00872BD8" w:rsidRDefault="00B25430" w:rsidP="00145AED">
      <w:pPr>
        <w:ind w:left="0"/>
        <w:rPr>
          <w:rFonts w:cs="Arial"/>
        </w:rPr>
      </w:pPr>
      <w:r w:rsidRPr="00872BD8">
        <w:rPr>
          <w:rFonts w:cs="Arial"/>
          <w:i/>
        </w:rPr>
        <w:t>Beneficiar</w:t>
      </w:r>
      <w:r w:rsidRPr="00872BD8">
        <w:rPr>
          <w:rFonts w:cs="Arial"/>
        </w:rPr>
        <w:t xml:space="preserve">:         Ministerul </w:t>
      </w:r>
      <w:r w:rsidR="00E544E0" w:rsidRPr="00872BD8">
        <w:rPr>
          <w:rFonts w:cs="Arial"/>
        </w:rPr>
        <w:t>Justiției</w:t>
      </w:r>
    </w:p>
    <w:p w14:paraId="52AB68C2" w14:textId="77777777" w:rsidR="00B25430" w:rsidRPr="00872BD8" w:rsidRDefault="00B25430" w:rsidP="00145AED">
      <w:pPr>
        <w:ind w:left="0"/>
        <w:rPr>
          <w:rFonts w:cs="Arial"/>
        </w:rPr>
      </w:pPr>
      <w:r w:rsidRPr="00872BD8">
        <w:rPr>
          <w:rFonts w:cs="Arial"/>
          <w:i/>
        </w:rPr>
        <w:lastRenderedPageBreak/>
        <w:t>Cod fiscal</w:t>
      </w:r>
      <w:r w:rsidRPr="00872BD8">
        <w:rPr>
          <w:rFonts w:cs="Arial"/>
        </w:rPr>
        <w:t>:         4265841</w:t>
      </w:r>
    </w:p>
    <w:p w14:paraId="14DEC075" w14:textId="380E5E5F" w:rsidR="00B25430" w:rsidRPr="00872BD8" w:rsidRDefault="00B25430" w:rsidP="00145AED">
      <w:pPr>
        <w:ind w:left="0"/>
        <w:rPr>
          <w:rFonts w:cs="Arial"/>
        </w:rPr>
      </w:pPr>
      <w:r w:rsidRPr="00872BD8">
        <w:rPr>
          <w:rFonts w:cs="Arial"/>
          <w:i/>
        </w:rPr>
        <w:t>Adresă</w:t>
      </w:r>
      <w:r w:rsidRPr="00872BD8">
        <w:rPr>
          <w:rFonts w:cs="Arial"/>
        </w:rPr>
        <w:t xml:space="preserve">:             </w:t>
      </w:r>
      <w:r w:rsidR="00E544E0">
        <w:rPr>
          <w:rFonts w:cs="Arial"/>
        </w:rPr>
        <w:t xml:space="preserve"> s</w:t>
      </w:r>
      <w:r w:rsidRPr="00872BD8">
        <w:rPr>
          <w:rFonts w:cs="Arial"/>
        </w:rPr>
        <w:t>tr. Apolodor, nr. 17</w:t>
      </w:r>
      <w:r w:rsidR="0050071C">
        <w:rPr>
          <w:rFonts w:cs="Arial"/>
        </w:rPr>
        <w:t>, sectorul 5</w:t>
      </w:r>
    </w:p>
    <w:p w14:paraId="408A0426" w14:textId="77777777" w:rsidR="00B25430" w:rsidRPr="005623DA" w:rsidRDefault="00B25430" w:rsidP="00145AED">
      <w:pPr>
        <w:ind w:left="0"/>
        <w:rPr>
          <w:rFonts w:cs="Arial"/>
          <w:b/>
          <w:u w:val="single"/>
        </w:rPr>
      </w:pPr>
      <w:r w:rsidRPr="00872BD8">
        <w:rPr>
          <w:rFonts w:cs="Arial"/>
          <w:i/>
        </w:rPr>
        <w:t>Cod IBAN</w:t>
      </w:r>
      <w:r w:rsidRPr="00872BD8">
        <w:rPr>
          <w:rFonts w:cs="Arial"/>
        </w:rPr>
        <w:t xml:space="preserve">:         </w:t>
      </w:r>
      <w:r w:rsidR="00E544E0">
        <w:rPr>
          <w:rFonts w:cs="Arial"/>
        </w:rPr>
        <w:t xml:space="preserve">  </w:t>
      </w:r>
      <w:r w:rsidRPr="005021F2">
        <w:rPr>
          <w:rFonts w:cs="Arial"/>
          <w:b/>
          <w:u w:val="single"/>
        </w:rPr>
        <w:t>RO86</w:t>
      </w:r>
      <w:r w:rsidR="00E544E0" w:rsidRPr="005021F2">
        <w:rPr>
          <w:rFonts w:cs="Arial"/>
          <w:b/>
          <w:u w:val="single"/>
        </w:rPr>
        <w:t xml:space="preserve"> </w:t>
      </w:r>
      <w:r w:rsidRPr="005021F2">
        <w:rPr>
          <w:rFonts w:cs="Arial"/>
          <w:b/>
          <w:u w:val="single"/>
        </w:rPr>
        <w:t>TREZ</w:t>
      </w:r>
      <w:r w:rsidR="00E544E0" w:rsidRPr="005021F2">
        <w:rPr>
          <w:rFonts w:cs="Arial"/>
          <w:b/>
          <w:u w:val="single"/>
        </w:rPr>
        <w:t xml:space="preserve"> </w:t>
      </w:r>
      <w:r w:rsidRPr="005021F2">
        <w:rPr>
          <w:rFonts w:cs="Arial"/>
          <w:b/>
          <w:u w:val="single"/>
        </w:rPr>
        <w:t>7002</w:t>
      </w:r>
      <w:r w:rsidR="00E544E0" w:rsidRPr="005021F2">
        <w:rPr>
          <w:rFonts w:cs="Arial"/>
          <w:b/>
          <w:u w:val="single"/>
        </w:rPr>
        <w:t xml:space="preserve"> </w:t>
      </w:r>
      <w:r w:rsidRPr="005021F2">
        <w:rPr>
          <w:rFonts w:cs="Arial"/>
          <w:b/>
          <w:u w:val="single"/>
        </w:rPr>
        <w:t>0E33</w:t>
      </w:r>
      <w:r w:rsidR="00E544E0" w:rsidRPr="005021F2">
        <w:rPr>
          <w:rFonts w:cs="Arial"/>
          <w:b/>
          <w:u w:val="single"/>
        </w:rPr>
        <w:t xml:space="preserve"> </w:t>
      </w:r>
      <w:r w:rsidRPr="005021F2">
        <w:rPr>
          <w:rFonts w:cs="Arial"/>
          <w:b/>
          <w:u w:val="single"/>
        </w:rPr>
        <w:t>0500</w:t>
      </w:r>
      <w:r w:rsidR="00E544E0" w:rsidRPr="005021F2">
        <w:rPr>
          <w:rFonts w:cs="Arial"/>
          <w:b/>
          <w:u w:val="single"/>
        </w:rPr>
        <w:t xml:space="preserve"> </w:t>
      </w:r>
      <w:r w:rsidRPr="005021F2">
        <w:rPr>
          <w:rFonts w:cs="Arial"/>
          <w:b/>
          <w:u w:val="single"/>
        </w:rPr>
        <w:t>XXXX</w:t>
      </w:r>
    </w:p>
    <w:p w14:paraId="09CDEFC3" w14:textId="77777777" w:rsidR="00B25430" w:rsidRPr="00872BD8" w:rsidRDefault="00B25430" w:rsidP="00145AED">
      <w:pPr>
        <w:ind w:left="0"/>
        <w:rPr>
          <w:rFonts w:cs="Arial"/>
        </w:rPr>
      </w:pPr>
      <w:r w:rsidRPr="005623DA">
        <w:rPr>
          <w:rFonts w:cs="Arial"/>
          <w:i/>
        </w:rPr>
        <w:t>Deschis la</w:t>
      </w:r>
      <w:r w:rsidRPr="005623DA">
        <w:rPr>
          <w:rFonts w:cs="Arial"/>
        </w:rPr>
        <w:t xml:space="preserve">:         Trezoreria operativă a Municipiului </w:t>
      </w:r>
      <w:r w:rsidR="00E544E0" w:rsidRPr="005623DA">
        <w:rPr>
          <w:rFonts w:cs="Arial"/>
        </w:rPr>
        <w:t>București</w:t>
      </w:r>
    </w:p>
    <w:p w14:paraId="3C73CA08" w14:textId="40F597E1" w:rsidR="00B25430" w:rsidRDefault="00B25430" w:rsidP="00145AED">
      <w:pPr>
        <w:ind w:left="0"/>
        <w:rPr>
          <w:rFonts w:cs="Arial"/>
        </w:rPr>
      </w:pPr>
      <w:r w:rsidRPr="00872BD8">
        <w:rPr>
          <w:rFonts w:cs="Arial"/>
          <w:i/>
        </w:rPr>
        <w:t>Reprezentând</w:t>
      </w:r>
      <w:r w:rsidRPr="00872BD8">
        <w:rPr>
          <w:rFonts w:cs="Arial"/>
        </w:rPr>
        <w:t>:  „</w:t>
      </w:r>
      <w:r w:rsidRPr="00872BD8">
        <w:rPr>
          <w:rFonts w:cs="Arial"/>
          <w:i/>
        </w:rPr>
        <w:t xml:space="preserve">Taxă </w:t>
      </w:r>
      <w:r w:rsidR="00C42798">
        <w:rPr>
          <w:rFonts w:cs="Arial"/>
          <w:i/>
        </w:rPr>
        <w:t>examen</w:t>
      </w:r>
      <w:r w:rsidRPr="00872BD8">
        <w:rPr>
          <w:rFonts w:cs="Arial"/>
          <w:i/>
        </w:rPr>
        <w:t xml:space="preserve"> ETJ</w:t>
      </w:r>
      <w:r w:rsidR="00C45C8B">
        <w:rPr>
          <w:rFonts w:cs="Arial"/>
          <w:i/>
        </w:rPr>
        <w:t>, nume și prenume candidat</w:t>
      </w:r>
      <w:r w:rsidRPr="00872BD8">
        <w:rPr>
          <w:rFonts w:cs="Arial"/>
        </w:rPr>
        <w:t>”</w:t>
      </w:r>
      <w:r w:rsidR="00604D6A">
        <w:rPr>
          <w:rFonts w:cs="Arial"/>
        </w:rPr>
        <w:t xml:space="preserve"> – </w:t>
      </w:r>
      <w:r w:rsidR="00604D6A" w:rsidRPr="00731B1A">
        <w:rPr>
          <w:rFonts w:cs="Arial"/>
          <w:b/>
        </w:rPr>
        <w:t>mențiun</w:t>
      </w:r>
      <w:r w:rsidR="004A6F59">
        <w:rPr>
          <w:rFonts w:cs="Arial"/>
          <w:b/>
        </w:rPr>
        <w:t>i</w:t>
      </w:r>
      <w:r w:rsidR="00604D6A" w:rsidRPr="00731B1A">
        <w:rPr>
          <w:rFonts w:cs="Arial"/>
          <w:b/>
        </w:rPr>
        <w:t xml:space="preserve"> obligatori</w:t>
      </w:r>
      <w:r w:rsidR="004A6F59">
        <w:rPr>
          <w:rFonts w:cs="Arial"/>
          <w:b/>
        </w:rPr>
        <w:t>i</w:t>
      </w:r>
      <w:r w:rsidR="00F7057E" w:rsidRPr="00731B1A">
        <w:rPr>
          <w:rFonts w:cs="Arial"/>
          <w:b/>
        </w:rPr>
        <w:t>.</w:t>
      </w:r>
      <w:r w:rsidRPr="00872BD8">
        <w:rPr>
          <w:rFonts w:cs="Arial"/>
        </w:rPr>
        <w:t xml:space="preserve"> </w:t>
      </w:r>
    </w:p>
    <w:p w14:paraId="411A659B" w14:textId="5C6D3CED" w:rsidR="00B25430" w:rsidRPr="0050071C" w:rsidRDefault="0050071C" w:rsidP="00145AED">
      <w:pPr>
        <w:ind w:left="0"/>
        <w:rPr>
          <w:rFonts w:cs="Arial"/>
          <w:b/>
        </w:rPr>
      </w:pPr>
      <w:r w:rsidRPr="0050071C">
        <w:rPr>
          <w:rFonts w:cs="Arial"/>
          <w:b/>
        </w:rPr>
        <w:t xml:space="preserve">Atenție! </w:t>
      </w:r>
      <w:r w:rsidR="00927F0B">
        <w:rPr>
          <w:rFonts w:cs="Arial"/>
          <w:b/>
        </w:rPr>
        <w:t>Pentru a evita eventuale erori în procesul de plată a taxei de înscriere, l</w:t>
      </w:r>
      <w:r w:rsidRPr="0050071C">
        <w:rPr>
          <w:rFonts w:cs="Arial"/>
          <w:b/>
        </w:rPr>
        <w:t xml:space="preserve">a rubrica CNP/CUI Beneficiar, se va înscrie codul fiscal al Ministerului Justiției, respectiv 4265841, iar </w:t>
      </w:r>
      <w:r w:rsidRPr="00851955">
        <w:rPr>
          <w:rFonts w:cs="Arial"/>
          <w:b/>
          <w:u w:val="single"/>
        </w:rPr>
        <w:t>nu</w:t>
      </w:r>
      <w:r w:rsidRPr="0050071C">
        <w:rPr>
          <w:rFonts w:cs="Arial"/>
          <w:b/>
        </w:rPr>
        <w:t xml:space="preserve"> codul numeric personal al plătitorului/candidatului.</w:t>
      </w:r>
    </w:p>
    <w:p w14:paraId="2CB8B6D6" w14:textId="77777777" w:rsidR="00EE45AB" w:rsidRPr="005021F2" w:rsidRDefault="00EE45AB" w:rsidP="00EE45AB">
      <w:pPr>
        <w:ind w:left="0"/>
        <w:rPr>
          <w:rFonts w:cs="Arial"/>
        </w:rPr>
      </w:pPr>
      <w:r w:rsidRPr="005021F2">
        <w:rPr>
          <w:rFonts w:cs="Arial"/>
        </w:rPr>
        <w:t>Casieria Ministerului Justiției funcționează după următorul program:</w:t>
      </w:r>
    </w:p>
    <w:p w14:paraId="454B0D2E" w14:textId="77777777" w:rsidR="00EE45AB" w:rsidRPr="005021F2" w:rsidRDefault="00EE45AB" w:rsidP="00EE45AB">
      <w:pPr>
        <w:ind w:left="0"/>
        <w:rPr>
          <w:rFonts w:cs="Arial"/>
        </w:rPr>
      </w:pPr>
      <w:r w:rsidRPr="005021F2">
        <w:rPr>
          <w:rFonts w:cs="Arial"/>
        </w:rPr>
        <w:t>Luni – Joi: 08:30 – 9:30</w:t>
      </w:r>
    </w:p>
    <w:p w14:paraId="6B456497" w14:textId="77777777" w:rsidR="00EE45AB" w:rsidRPr="005021F2" w:rsidRDefault="00EE45AB" w:rsidP="00EE45AB">
      <w:pPr>
        <w:ind w:left="0"/>
        <w:rPr>
          <w:rFonts w:cs="Arial"/>
        </w:rPr>
      </w:pPr>
      <w:r w:rsidRPr="005021F2">
        <w:rPr>
          <w:rFonts w:cs="Arial"/>
        </w:rPr>
        <w:t>Luni – Joi: 13:30 – 15:00</w:t>
      </w:r>
    </w:p>
    <w:p w14:paraId="6030EE9D" w14:textId="77777777" w:rsidR="00EE45AB" w:rsidRPr="009D4E08" w:rsidRDefault="00EE45AB" w:rsidP="00EE45AB">
      <w:pPr>
        <w:ind w:left="0"/>
        <w:rPr>
          <w:rFonts w:cs="Arial"/>
        </w:rPr>
      </w:pPr>
      <w:r w:rsidRPr="005021F2">
        <w:rPr>
          <w:rFonts w:cs="Arial"/>
        </w:rPr>
        <w:t>Vineri:      08:30 – 10:30.</w:t>
      </w:r>
    </w:p>
    <w:p w14:paraId="503EDD51" w14:textId="31D46661" w:rsidR="00B25430" w:rsidRPr="00872BD8" w:rsidRDefault="00E544E0" w:rsidP="00145AED">
      <w:pPr>
        <w:numPr>
          <w:ilvl w:val="0"/>
          <w:numId w:val="1"/>
        </w:numPr>
        <w:spacing w:after="0"/>
        <w:ind w:left="0"/>
        <w:rPr>
          <w:rFonts w:cs="Arial"/>
          <w:b/>
        </w:rPr>
      </w:pPr>
      <w:r w:rsidRPr="00872BD8">
        <w:rPr>
          <w:rFonts w:cs="Arial"/>
          <w:b/>
        </w:rPr>
        <w:t>Afișare</w:t>
      </w:r>
      <w:r>
        <w:rPr>
          <w:rFonts w:cs="Arial"/>
          <w:b/>
        </w:rPr>
        <w:t>a</w:t>
      </w:r>
      <w:r w:rsidR="00B25430" w:rsidRPr="00872BD8">
        <w:rPr>
          <w:rFonts w:cs="Arial"/>
          <w:b/>
        </w:rPr>
        <w:t xml:space="preserve"> rezultate</w:t>
      </w:r>
      <w:r>
        <w:rPr>
          <w:rFonts w:cs="Arial"/>
          <w:b/>
        </w:rPr>
        <w:t>lor</w:t>
      </w:r>
      <w:r w:rsidR="00B25430" w:rsidRPr="00872BD8">
        <w:rPr>
          <w:rFonts w:cs="Arial"/>
          <w:b/>
        </w:rPr>
        <w:t xml:space="preserve"> verific</w:t>
      </w:r>
      <w:r>
        <w:rPr>
          <w:rFonts w:cs="Arial"/>
          <w:b/>
        </w:rPr>
        <w:t xml:space="preserve">ării îndeplinirii condițiilor de </w:t>
      </w:r>
      <w:r w:rsidR="00B25430" w:rsidRPr="00872BD8">
        <w:rPr>
          <w:rFonts w:cs="Arial"/>
          <w:b/>
        </w:rPr>
        <w:t>înscriere</w:t>
      </w:r>
      <w:r>
        <w:rPr>
          <w:rFonts w:cs="Arial"/>
          <w:b/>
        </w:rPr>
        <w:t xml:space="preserve"> la </w:t>
      </w:r>
      <w:r w:rsidR="00C42798">
        <w:rPr>
          <w:rFonts w:cs="Arial"/>
          <w:b/>
        </w:rPr>
        <w:t>examen</w:t>
      </w:r>
    </w:p>
    <w:p w14:paraId="16BD55ED" w14:textId="2B84AAA0" w:rsidR="00B25430" w:rsidRPr="00872BD8" w:rsidRDefault="00CB4118" w:rsidP="00145AED">
      <w:pPr>
        <w:ind w:left="0"/>
        <w:rPr>
          <w:rFonts w:cs="Arial"/>
        </w:rPr>
      </w:pPr>
      <w:r>
        <w:rPr>
          <w:rFonts w:cs="Arial"/>
        </w:rPr>
        <w:t>09</w:t>
      </w:r>
      <w:r w:rsidR="008E4757">
        <w:rPr>
          <w:rFonts w:cs="Arial"/>
        </w:rPr>
        <w:t xml:space="preserve"> </w:t>
      </w:r>
      <w:r>
        <w:rPr>
          <w:rFonts w:cs="Arial"/>
        </w:rPr>
        <w:t>aprilie</w:t>
      </w:r>
      <w:r w:rsidR="007D3B57">
        <w:rPr>
          <w:rFonts w:cs="Arial"/>
        </w:rPr>
        <w:t xml:space="preserve"> 202</w:t>
      </w:r>
      <w:r w:rsidR="00BE7726">
        <w:rPr>
          <w:rFonts w:cs="Arial"/>
        </w:rPr>
        <w:t>6</w:t>
      </w:r>
    </w:p>
    <w:p w14:paraId="403D4C74" w14:textId="1F370E3F" w:rsidR="002959E9" w:rsidRDefault="00B25430" w:rsidP="002959E9">
      <w:pPr>
        <w:numPr>
          <w:ilvl w:val="0"/>
          <w:numId w:val="1"/>
        </w:numPr>
        <w:spacing w:after="0"/>
        <w:ind w:left="0"/>
        <w:rPr>
          <w:rFonts w:cs="Arial"/>
          <w:b/>
        </w:rPr>
      </w:pPr>
      <w:r w:rsidRPr="00872BD8">
        <w:rPr>
          <w:rFonts w:cs="Arial"/>
          <w:b/>
        </w:rPr>
        <w:t xml:space="preserve">Tematica </w:t>
      </w:r>
    </w:p>
    <w:p w14:paraId="1E2A46A7" w14:textId="77777777" w:rsidR="002959E9" w:rsidRPr="002959E9" w:rsidRDefault="002959E9" w:rsidP="002959E9">
      <w:pPr>
        <w:spacing w:after="0"/>
        <w:ind w:left="0"/>
        <w:rPr>
          <w:rFonts w:cs="Arial"/>
          <w:b/>
        </w:rPr>
      </w:pPr>
    </w:p>
    <w:p w14:paraId="0AAACF84" w14:textId="77777777" w:rsidR="002959E9" w:rsidRPr="002959E9" w:rsidRDefault="002959E9" w:rsidP="002959E9">
      <w:pPr>
        <w:numPr>
          <w:ilvl w:val="0"/>
          <w:numId w:val="6"/>
        </w:numPr>
        <w:spacing w:after="160" w:line="259" w:lineRule="auto"/>
        <w:contextualSpacing/>
        <w:jc w:val="left"/>
        <w:rPr>
          <w:rFonts w:eastAsia="Calibri"/>
          <w:b/>
          <w:i/>
        </w:rPr>
      </w:pPr>
      <w:r w:rsidRPr="002959E9">
        <w:rPr>
          <w:rFonts w:eastAsia="Calibri"/>
          <w:b/>
          <w:i/>
        </w:rPr>
        <w:t>Elemente specifice specializării „Autovehicule, circulație rutieră”</w:t>
      </w:r>
    </w:p>
    <w:p w14:paraId="55E7C3EF" w14:textId="77777777" w:rsidR="002959E9" w:rsidRPr="002959E9" w:rsidRDefault="002959E9" w:rsidP="002959E9">
      <w:pPr>
        <w:spacing w:after="160"/>
        <w:ind w:left="720"/>
        <w:contextualSpacing/>
        <w:jc w:val="left"/>
        <w:rPr>
          <w:rFonts w:eastAsia="Calibri"/>
          <w:b/>
          <w:i/>
        </w:rPr>
      </w:pPr>
    </w:p>
    <w:p w14:paraId="37547E84" w14:textId="77777777" w:rsidR="002959E9" w:rsidRPr="002959E9" w:rsidRDefault="002959E9" w:rsidP="002959E9">
      <w:pPr>
        <w:spacing w:after="160"/>
        <w:ind w:left="0"/>
        <w:jc w:val="left"/>
        <w:rPr>
          <w:rFonts w:eastAsia="Calibri"/>
          <w:b/>
        </w:rPr>
      </w:pPr>
      <w:r w:rsidRPr="002959E9">
        <w:rPr>
          <w:rFonts w:eastAsia="Calibri"/>
          <w:b/>
        </w:rPr>
        <w:t xml:space="preserve">Capitolul I — Noțiuni generale privind autovehiculele </w:t>
      </w:r>
    </w:p>
    <w:p w14:paraId="3F866DDD" w14:textId="77777777" w:rsidR="002959E9" w:rsidRPr="002959E9" w:rsidRDefault="002959E9" w:rsidP="002959E9">
      <w:pPr>
        <w:spacing w:after="160"/>
        <w:ind w:left="0"/>
        <w:jc w:val="left"/>
        <w:rPr>
          <w:rFonts w:eastAsia="Calibri"/>
        </w:rPr>
      </w:pPr>
      <w:r w:rsidRPr="002959E9">
        <w:rPr>
          <w:rFonts w:eastAsia="Calibri"/>
        </w:rPr>
        <w:t>•</w:t>
      </w:r>
      <w:r w:rsidRPr="002959E9">
        <w:rPr>
          <w:rFonts w:eastAsia="Calibri"/>
        </w:rPr>
        <w:tab/>
        <w:t>Clasificarea autovehiculelor conform legislației tehnice și rutiere.</w:t>
      </w:r>
    </w:p>
    <w:p w14:paraId="23317DF2" w14:textId="77777777" w:rsidR="002959E9" w:rsidRPr="002959E9" w:rsidRDefault="002959E9" w:rsidP="002959E9">
      <w:pPr>
        <w:spacing w:after="160"/>
        <w:ind w:left="0"/>
        <w:jc w:val="left"/>
        <w:rPr>
          <w:rFonts w:eastAsia="Calibri"/>
        </w:rPr>
      </w:pPr>
      <w:r w:rsidRPr="002959E9">
        <w:rPr>
          <w:rFonts w:eastAsia="Calibri"/>
        </w:rPr>
        <w:t>•</w:t>
      </w:r>
      <w:r w:rsidRPr="002959E9">
        <w:rPr>
          <w:rFonts w:eastAsia="Calibri"/>
        </w:rPr>
        <w:tab/>
        <w:t>Terminologia specifică domeniului auto.</w:t>
      </w:r>
    </w:p>
    <w:p w14:paraId="3CB96B68" w14:textId="77777777" w:rsidR="002959E9" w:rsidRPr="002959E9" w:rsidRDefault="002959E9" w:rsidP="002959E9">
      <w:pPr>
        <w:spacing w:after="160"/>
        <w:ind w:left="0"/>
        <w:jc w:val="left"/>
        <w:rPr>
          <w:rFonts w:eastAsia="Calibri"/>
        </w:rPr>
      </w:pPr>
      <w:r w:rsidRPr="002959E9">
        <w:rPr>
          <w:rFonts w:eastAsia="Calibri"/>
        </w:rPr>
        <w:t>•          Principiile generale de funcționare ale autovehiculelor și sistemelor principale.</w:t>
      </w:r>
    </w:p>
    <w:p w14:paraId="305A3AFE" w14:textId="77777777" w:rsidR="002959E9" w:rsidRPr="002959E9" w:rsidRDefault="002959E9" w:rsidP="002959E9">
      <w:pPr>
        <w:spacing w:after="160"/>
        <w:ind w:left="0"/>
        <w:jc w:val="left"/>
        <w:rPr>
          <w:rFonts w:eastAsia="Calibri"/>
        </w:rPr>
      </w:pPr>
    </w:p>
    <w:p w14:paraId="1095DD52" w14:textId="77777777" w:rsidR="002959E9" w:rsidRPr="002959E9" w:rsidRDefault="002959E9" w:rsidP="002959E9">
      <w:pPr>
        <w:spacing w:after="160"/>
        <w:ind w:left="0"/>
        <w:jc w:val="left"/>
        <w:rPr>
          <w:rFonts w:eastAsia="Calibri"/>
          <w:b/>
        </w:rPr>
      </w:pPr>
      <w:r w:rsidRPr="002959E9">
        <w:rPr>
          <w:rFonts w:eastAsia="Calibri"/>
          <w:b/>
        </w:rPr>
        <w:t>Capitolul II — Dinamica autovehiculelor</w:t>
      </w:r>
    </w:p>
    <w:p w14:paraId="60584B5C" w14:textId="77777777" w:rsidR="002959E9" w:rsidRPr="002959E9" w:rsidRDefault="002959E9" w:rsidP="002959E9">
      <w:pPr>
        <w:spacing w:after="160"/>
        <w:ind w:left="0"/>
        <w:jc w:val="left"/>
        <w:rPr>
          <w:rFonts w:eastAsia="Calibri"/>
        </w:rPr>
      </w:pPr>
      <w:r w:rsidRPr="002959E9">
        <w:rPr>
          <w:rFonts w:eastAsia="Calibri"/>
        </w:rPr>
        <w:t>•</w:t>
      </w:r>
      <w:r w:rsidRPr="002959E9">
        <w:rPr>
          <w:rFonts w:eastAsia="Calibri"/>
        </w:rPr>
        <w:tab/>
        <w:t>Forțele care acționează asupra autovehiculului în mișcare.</w:t>
      </w:r>
    </w:p>
    <w:p w14:paraId="364FE795" w14:textId="77777777" w:rsidR="002959E9" w:rsidRPr="002959E9" w:rsidRDefault="002959E9" w:rsidP="002959E9">
      <w:pPr>
        <w:spacing w:after="160"/>
        <w:ind w:left="0"/>
        <w:jc w:val="left"/>
        <w:rPr>
          <w:rFonts w:eastAsia="Calibri"/>
        </w:rPr>
      </w:pPr>
      <w:r w:rsidRPr="002959E9">
        <w:rPr>
          <w:rFonts w:eastAsia="Calibri"/>
        </w:rPr>
        <w:t>•</w:t>
      </w:r>
      <w:r w:rsidRPr="002959E9">
        <w:rPr>
          <w:rFonts w:eastAsia="Calibri"/>
        </w:rPr>
        <w:tab/>
        <w:t>Stabilitatea direcțională si transversală.</w:t>
      </w:r>
    </w:p>
    <w:p w14:paraId="32740CD5" w14:textId="77777777" w:rsidR="002959E9" w:rsidRPr="002959E9" w:rsidRDefault="002959E9" w:rsidP="002959E9">
      <w:pPr>
        <w:spacing w:after="160"/>
        <w:ind w:left="0"/>
        <w:jc w:val="left"/>
        <w:rPr>
          <w:rFonts w:eastAsia="Calibri"/>
        </w:rPr>
      </w:pPr>
      <w:r w:rsidRPr="002959E9">
        <w:rPr>
          <w:rFonts w:eastAsia="Calibri"/>
        </w:rPr>
        <w:t>•</w:t>
      </w:r>
      <w:r w:rsidRPr="002959E9">
        <w:rPr>
          <w:rFonts w:eastAsia="Calibri"/>
        </w:rPr>
        <w:tab/>
        <w:t>Aderența, frânarea și influența factorilor externi asupra comportamentului dinamic.</w:t>
      </w:r>
    </w:p>
    <w:p w14:paraId="291D08B8" w14:textId="77777777" w:rsidR="002959E9" w:rsidRPr="002959E9" w:rsidRDefault="002959E9" w:rsidP="002959E9">
      <w:pPr>
        <w:spacing w:after="160"/>
        <w:ind w:left="0"/>
        <w:jc w:val="left"/>
        <w:rPr>
          <w:rFonts w:eastAsia="Calibri"/>
        </w:rPr>
      </w:pPr>
      <w:r w:rsidRPr="002959E9">
        <w:rPr>
          <w:rFonts w:eastAsia="Calibri"/>
        </w:rPr>
        <w:t>•</w:t>
      </w:r>
      <w:r w:rsidRPr="002959E9">
        <w:rPr>
          <w:rFonts w:eastAsia="Calibri"/>
        </w:rPr>
        <w:tab/>
        <w:t xml:space="preserve">Analiza comportamentului vehiculului în condiții variate de drum și sarcină. </w:t>
      </w:r>
    </w:p>
    <w:p w14:paraId="59E43D4E" w14:textId="77777777" w:rsidR="002959E9" w:rsidRPr="002959E9" w:rsidRDefault="002959E9" w:rsidP="002959E9">
      <w:pPr>
        <w:spacing w:after="160"/>
        <w:ind w:left="0"/>
        <w:jc w:val="left"/>
        <w:rPr>
          <w:rFonts w:eastAsia="Calibri"/>
        </w:rPr>
      </w:pPr>
    </w:p>
    <w:p w14:paraId="2410B799" w14:textId="77777777" w:rsidR="002959E9" w:rsidRPr="002959E9" w:rsidRDefault="002959E9" w:rsidP="002959E9">
      <w:pPr>
        <w:spacing w:after="160"/>
        <w:ind w:left="0"/>
        <w:jc w:val="left"/>
        <w:rPr>
          <w:rFonts w:eastAsia="Calibri"/>
          <w:b/>
        </w:rPr>
      </w:pPr>
      <w:r w:rsidRPr="002959E9">
        <w:rPr>
          <w:rFonts w:eastAsia="Calibri"/>
          <w:b/>
        </w:rPr>
        <w:t>Capitolul III — Construcția autovehiculelor și a componentelor acestora</w:t>
      </w:r>
      <w:r w:rsidRPr="002959E9">
        <w:rPr>
          <w:rFonts w:eastAsia="Calibri"/>
          <w:b/>
        </w:rPr>
        <w:tab/>
        <w:t xml:space="preserve"> </w:t>
      </w:r>
    </w:p>
    <w:p w14:paraId="30602F64" w14:textId="77777777" w:rsidR="002959E9" w:rsidRPr="002959E9" w:rsidRDefault="002959E9" w:rsidP="002959E9">
      <w:pPr>
        <w:spacing w:after="160"/>
        <w:ind w:left="0"/>
        <w:jc w:val="left"/>
        <w:rPr>
          <w:rFonts w:eastAsia="Calibri"/>
        </w:rPr>
      </w:pPr>
      <w:r w:rsidRPr="002959E9">
        <w:rPr>
          <w:rFonts w:eastAsia="Calibri"/>
        </w:rPr>
        <w:t>•         Structura de rezistență și elementele caroseriei.</w:t>
      </w:r>
    </w:p>
    <w:p w14:paraId="7506DBC1" w14:textId="77777777" w:rsidR="002959E9" w:rsidRPr="002959E9" w:rsidRDefault="002959E9" w:rsidP="002959E9">
      <w:pPr>
        <w:spacing w:after="160"/>
        <w:ind w:left="0"/>
        <w:jc w:val="left"/>
        <w:rPr>
          <w:rFonts w:eastAsia="Calibri"/>
        </w:rPr>
      </w:pPr>
      <w:r w:rsidRPr="002959E9">
        <w:rPr>
          <w:rFonts w:eastAsia="Calibri"/>
        </w:rPr>
        <w:t>•</w:t>
      </w:r>
      <w:r w:rsidRPr="002959E9">
        <w:rPr>
          <w:rFonts w:eastAsia="Calibri"/>
        </w:rPr>
        <w:tab/>
        <w:t>Sisteme mecanice, hidraulice și electronice: motor, transmisie, direcție, frânare, suspensie.</w:t>
      </w:r>
    </w:p>
    <w:p w14:paraId="23295F72" w14:textId="77777777" w:rsidR="002959E9" w:rsidRPr="002959E9" w:rsidRDefault="002959E9" w:rsidP="002959E9">
      <w:pPr>
        <w:spacing w:after="160"/>
        <w:ind w:left="0"/>
        <w:jc w:val="left"/>
        <w:rPr>
          <w:rFonts w:eastAsia="Calibri"/>
        </w:rPr>
      </w:pPr>
      <w:r w:rsidRPr="002959E9">
        <w:rPr>
          <w:rFonts w:eastAsia="Calibri"/>
        </w:rPr>
        <w:t>•</w:t>
      </w:r>
      <w:r w:rsidRPr="002959E9">
        <w:rPr>
          <w:rFonts w:eastAsia="Calibri"/>
        </w:rPr>
        <w:tab/>
        <w:t>Materiale și tehnologii utilizate în construcția autovehiculelor moderne.</w:t>
      </w:r>
    </w:p>
    <w:p w14:paraId="053F5449" w14:textId="77777777" w:rsidR="002959E9" w:rsidRPr="002959E9" w:rsidRDefault="002959E9" w:rsidP="002959E9">
      <w:pPr>
        <w:spacing w:after="160"/>
        <w:ind w:left="0"/>
        <w:jc w:val="left"/>
        <w:rPr>
          <w:rFonts w:eastAsia="Calibri"/>
        </w:rPr>
      </w:pPr>
      <w:r w:rsidRPr="002959E9">
        <w:rPr>
          <w:rFonts w:eastAsia="Calibri"/>
        </w:rPr>
        <w:lastRenderedPageBreak/>
        <w:t>•         Soluții constructive de organizare a sistemelor de propulsie ale autovehiculelor rutiere.</w:t>
      </w:r>
    </w:p>
    <w:p w14:paraId="69912D03" w14:textId="77777777" w:rsidR="002959E9" w:rsidRPr="002959E9" w:rsidRDefault="002959E9" w:rsidP="002959E9">
      <w:pPr>
        <w:spacing w:after="160"/>
        <w:ind w:left="0"/>
        <w:jc w:val="left"/>
        <w:rPr>
          <w:rFonts w:eastAsia="Calibri"/>
        </w:rPr>
      </w:pPr>
    </w:p>
    <w:p w14:paraId="0178CAA6" w14:textId="77777777" w:rsidR="002959E9" w:rsidRPr="002959E9" w:rsidRDefault="002959E9" w:rsidP="002959E9">
      <w:pPr>
        <w:spacing w:after="160"/>
        <w:ind w:left="0"/>
        <w:jc w:val="left"/>
        <w:rPr>
          <w:rFonts w:eastAsia="Calibri"/>
          <w:b/>
        </w:rPr>
      </w:pPr>
      <w:r w:rsidRPr="002959E9">
        <w:rPr>
          <w:rFonts w:eastAsia="Calibri"/>
          <w:b/>
        </w:rPr>
        <w:t xml:space="preserve">Capitolul IV — Funcționarea autovehiculelor </w:t>
      </w:r>
    </w:p>
    <w:p w14:paraId="1202EDC4" w14:textId="77777777" w:rsidR="002959E9" w:rsidRPr="002959E9" w:rsidRDefault="002959E9" w:rsidP="002959E9">
      <w:pPr>
        <w:spacing w:after="160"/>
        <w:ind w:left="0"/>
        <w:jc w:val="left"/>
        <w:rPr>
          <w:rFonts w:eastAsia="Calibri"/>
        </w:rPr>
      </w:pPr>
      <w:r w:rsidRPr="002959E9">
        <w:rPr>
          <w:rFonts w:eastAsia="Calibri"/>
        </w:rPr>
        <w:t>•</w:t>
      </w:r>
      <w:r w:rsidRPr="002959E9">
        <w:rPr>
          <w:rFonts w:eastAsia="Calibri"/>
        </w:rPr>
        <w:tab/>
        <w:t xml:space="preserve">Principii de funcționare ale motoarelor cu ardere internă și ale sistemelor de propulsie  hibride/electrice. </w:t>
      </w:r>
    </w:p>
    <w:p w14:paraId="1568392C" w14:textId="77777777" w:rsidR="002959E9" w:rsidRPr="002959E9" w:rsidRDefault="002959E9" w:rsidP="002959E9">
      <w:pPr>
        <w:spacing w:after="160"/>
        <w:ind w:left="0"/>
        <w:jc w:val="left"/>
        <w:rPr>
          <w:rFonts w:eastAsia="Calibri"/>
        </w:rPr>
      </w:pPr>
      <w:r w:rsidRPr="002959E9">
        <w:rPr>
          <w:rFonts w:eastAsia="Calibri"/>
        </w:rPr>
        <w:t>•</w:t>
      </w:r>
      <w:r w:rsidRPr="002959E9">
        <w:rPr>
          <w:rFonts w:eastAsia="Calibri"/>
        </w:rPr>
        <w:tab/>
        <w:t>Diagnosticarea defecțiunilor tehnice și întreținerea preventivă.</w:t>
      </w:r>
    </w:p>
    <w:p w14:paraId="5A65F81B" w14:textId="77777777" w:rsidR="002959E9" w:rsidRPr="002959E9" w:rsidRDefault="002959E9" w:rsidP="002959E9">
      <w:pPr>
        <w:spacing w:after="160"/>
        <w:ind w:left="0"/>
        <w:jc w:val="left"/>
        <w:rPr>
          <w:rFonts w:eastAsia="Calibri"/>
        </w:rPr>
      </w:pPr>
      <w:r w:rsidRPr="002959E9">
        <w:rPr>
          <w:rFonts w:eastAsia="Calibri"/>
        </w:rPr>
        <w:t>•</w:t>
      </w:r>
      <w:r w:rsidRPr="002959E9">
        <w:rPr>
          <w:rFonts w:eastAsia="Calibri"/>
        </w:rPr>
        <w:tab/>
        <w:t xml:space="preserve">Parametrii de performanță și metodele de verificare a acestora.  </w:t>
      </w:r>
    </w:p>
    <w:p w14:paraId="14EBFEF6" w14:textId="77777777" w:rsidR="002959E9" w:rsidRPr="002959E9" w:rsidRDefault="002959E9" w:rsidP="002959E9">
      <w:pPr>
        <w:spacing w:after="160"/>
        <w:ind w:left="0"/>
        <w:jc w:val="left"/>
        <w:rPr>
          <w:rFonts w:eastAsia="Calibri"/>
        </w:rPr>
      </w:pPr>
      <w:r w:rsidRPr="002959E9">
        <w:rPr>
          <w:rFonts w:eastAsia="Calibri"/>
        </w:rPr>
        <w:t>•</w:t>
      </w:r>
      <w:r w:rsidRPr="002959E9">
        <w:rPr>
          <w:rFonts w:eastAsia="Calibri"/>
        </w:rPr>
        <w:tab/>
        <w:t>Mentenanța autovehiculelor.</w:t>
      </w:r>
    </w:p>
    <w:p w14:paraId="3CA0E8C0" w14:textId="77777777" w:rsidR="002959E9" w:rsidRPr="002959E9" w:rsidRDefault="002959E9" w:rsidP="002959E9">
      <w:pPr>
        <w:spacing w:after="160"/>
        <w:ind w:left="0"/>
        <w:jc w:val="left"/>
        <w:rPr>
          <w:rFonts w:eastAsia="Calibri"/>
        </w:rPr>
      </w:pPr>
    </w:p>
    <w:p w14:paraId="040DEF3C" w14:textId="77777777" w:rsidR="002959E9" w:rsidRPr="002959E9" w:rsidRDefault="002959E9" w:rsidP="002959E9">
      <w:pPr>
        <w:spacing w:after="160"/>
        <w:ind w:left="0"/>
        <w:jc w:val="left"/>
        <w:rPr>
          <w:rFonts w:eastAsia="Calibri"/>
          <w:b/>
        </w:rPr>
      </w:pPr>
      <w:r w:rsidRPr="002959E9">
        <w:rPr>
          <w:rFonts w:eastAsia="Calibri"/>
          <w:b/>
        </w:rPr>
        <w:t xml:space="preserve">Capitolul V — Dinamica accidentelor rutiere  </w:t>
      </w:r>
    </w:p>
    <w:p w14:paraId="259F9057" w14:textId="77777777" w:rsidR="002959E9" w:rsidRPr="002959E9" w:rsidRDefault="002959E9" w:rsidP="002959E9">
      <w:pPr>
        <w:spacing w:after="160"/>
        <w:ind w:left="0"/>
        <w:jc w:val="left"/>
        <w:rPr>
          <w:rFonts w:eastAsia="Calibri"/>
        </w:rPr>
      </w:pPr>
      <w:r w:rsidRPr="002959E9">
        <w:rPr>
          <w:rFonts w:eastAsia="Calibri"/>
        </w:rPr>
        <w:t>•         Elemente de reconstrucție a accidentelor: urme, traiectorii, viteze.</w:t>
      </w:r>
    </w:p>
    <w:p w14:paraId="75710E47" w14:textId="77777777" w:rsidR="002959E9" w:rsidRPr="002959E9" w:rsidRDefault="002959E9" w:rsidP="002959E9">
      <w:pPr>
        <w:spacing w:after="160"/>
        <w:ind w:left="0"/>
        <w:jc w:val="left"/>
        <w:rPr>
          <w:rFonts w:eastAsia="Calibri"/>
        </w:rPr>
      </w:pPr>
      <w:r w:rsidRPr="002959E9">
        <w:rPr>
          <w:rFonts w:eastAsia="Calibri"/>
        </w:rPr>
        <w:t xml:space="preserve">• </w:t>
      </w:r>
      <w:r w:rsidRPr="002959E9">
        <w:rPr>
          <w:rFonts w:eastAsia="Calibri"/>
        </w:rPr>
        <w:tab/>
        <w:t xml:space="preserve">Interacțiunea vehicul-vehicul, vehicul - pasager, vehicul-pieton. </w:t>
      </w:r>
    </w:p>
    <w:p w14:paraId="0D3DAE3C" w14:textId="77777777" w:rsidR="002959E9" w:rsidRPr="002959E9" w:rsidRDefault="002959E9" w:rsidP="002959E9">
      <w:pPr>
        <w:spacing w:after="160"/>
        <w:ind w:left="0"/>
        <w:jc w:val="left"/>
        <w:rPr>
          <w:rFonts w:eastAsia="Calibri"/>
        </w:rPr>
      </w:pPr>
      <w:r w:rsidRPr="002959E9">
        <w:rPr>
          <w:rFonts w:eastAsia="Calibri"/>
        </w:rPr>
        <w:t>•</w:t>
      </w:r>
      <w:r w:rsidRPr="002959E9">
        <w:rPr>
          <w:rFonts w:eastAsia="Calibri"/>
        </w:rPr>
        <w:tab/>
        <w:t xml:space="preserve">Determinarea cauzelor tehnice și contribuției fiecărui factor.  </w:t>
      </w:r>
    </w:p>
    <w:p w14:paraId="1251F1C4" w14:textId="77777777" w:rsidR="002959E9" w:rsidRPr="002959E9" w:rsidRDefault="002959E9" w:rsidP="002959E9">
      <w:pPr>
        <w:spacing w:after="160"/>
        <w:ind w:left="0"/>
        <w:jc w:val="left"/>
        <w:rPr>
          <w:rFonts w:eastAsia="Calibri"/>
        </w:rPr>
      </w:pPr>
      <w:r w:rsidRPr="002959E9">
        <w:rPr>
          <w:rFonts w:eastAsia="Calibri"/>
        </w:rPr>
        <w:t>•</w:t>
      </w:r>
      <w:r w:rsidRPr="002959E9">
        <w:rPr>
          <w:rFonts w:eastAsia="Calibri"/>
        </w:rPr>
        <w:tab/>
        <w:t xml:space="preserve">Metode avansate de reconstrucție al accidentelor rutiere (CRASH3, Modelul </w:t>
      </w:r>
      <w:proofErr w:type="spellStart"/>
      <w:r w:rsidRPr="002959E9">
        <w:rPr>
          <w:rFonts w:eastAsia="Calibri"/>
        </w:rPr>
        <w:t>Kudlich</w:t>
      </w:r>
      <w:proofErr w:type="spellEnd"/>
      <w:r w:rsidRPr="002959E9">
        <w:rPr>
          <w:rFonts w:eastAsia="Calibri"/>
        </w:rPr>
        <w:t xml:space="preserve"> </w:t>
      </w:r>
      <w:proofErr w:type="spellStart"/>
      <w:r w:rsidRPr="002959E9">
        <w:rPr>
          <w:rFonts w:eastAsia="Calibri"/>
        </w:rPr>
        <w:t>Slibar</w:t>
      </w:r>
      <w:proofErr w:type="spellEnd"/>
      <w:r w:rsidRPr="002959E9">
        <w:rPr>
          <w:rFonts w:eastAsia="Calibri"/>
        </w:rPr>
        <w:t>).</w:t>
      </w:r>
    </w:p>
    <w:p w14:paraId="6CB4A7FE" w14:textId="77777777" w:rsidR="002959E9" w:rsidRPr="002959E9" w:rsidRDefault="002959E9" w:rsidP="002959E9">
      <w:pPr>
        <w:spacing w:after="160"/>
        <w:ind w:left="0"/>
        <w:jc w:val="left"/>
        <w:rPr>
          <w:rFonts w:eastAsia="Calibri"/>
        </w:rPr>
      </w:pPr>
      <w:r w:rsidRPr="002959E9">
        <w:rPr>
          <w:rFonts w:eastAsia="Calibri"/>
        </w:rPr>
        <w:t xml:space="preserve">•        Programe software de reconstrucție al accidentelor rutiere. </w:t>
      </w:r>
    </w:p>
    <w:p w14:paraId="699DB987" w14:textId="77777777" w:rsidR="002959E9" w:rsidRPr="002959E9" w:rsidRDefault="002959E9" w:rsidP="002959E9">
      <w:pPr>
        <w:spacing w:after="160"/>
        <w:ind w:left="0"/>
        <w:jc w:val="left"/>
        <w:rPr>
          <w:rFonts w:eastAsia="Calibri"/>
        </w:rPr>
      </w:pPr>
    </w:p>
    <w:p w14:paraId="62E34C6E" w14:textId="77777777" w:rsidR="002959E9" w:rsidRPr="002959E9" w:rsidRDefault="002959E9" w:rsidP="002959E9">
      <w:pPr>
        <w:spacing w:after="160"/>
        <w:ind w:left="0"/>
        <w:jc w:val="left"/>
        <w:rPr>
          <w:rFonts w:eastAsia="Calibri"/>
          <w:b/>
        </w:rPr>
      </w:pPr>
      <w:r w:rsidRPr="002959E9">
        <w:rPr>
          <w:rFonts w:eastAsia="Calibri"/>
          <w:b/>
        </w:rPr>
        <w:t>Capitolul VI — Evaluarea funcționării și conformității autovehiculelor</w:t>
      </w:r>
    </w:p>
    <w:p w14:paraId="44F7F060" w14:textId="77777777" w:rsidR="002959E9" w:rsidRPr="002959E9" w:rsidRDefault="002959E9" w:rsidP="002959E9">
      <w:pPr>
        <w:spacing w:after="160"/>
        <w:ind w:left="0"/>
        <w:jc w:val="left"/>
        <w:rPr>
          <w:rFonts w:eastAsia="Calibri"/>
        </w:rPr>
      </w:pPr>
      <w:r w:rsidRPr="002959E9">
        <w:rPr>
          <w:rFonts w:eastAsia="Calibri"/>
        </w:rPr>
        <w:t xml:space="preserve"> • Criterii de conformitate tehnică și legală.</w:t>
      </w:r>
      <w:r w:rsidRPr="002959E9">
        <w:rPr>
          <w:rFonts w:eastAsia="Calibri"/>
        </w:rPr>
        <w:tab/>
        <w:t xml:space="preserve"> </w:t>
      </w:r>
    </w:p>
    <w:p w14:paraId="76CD7999" w14:textId="77777777" w:rsidR="002959E9" w:rsidRPr="002959E9" w:rsidRDefault="002959E9" w:rsidP="002959E9">
      <w:pPr>
        <w:spacing w:after="160"/>
        <w:ind w:left="0"/>
        <w:jc w:val="left"/>
        <w:rPr>
          <w:rFonts w:eastAsia="Calibri"/>
        </w:rPr>
      </w:pPr>
      <w:r w:rsidRPr="002959E9">
        <w:rPr>
          <w:rFonts w:eastAsia="Calibri"/>
        </w:rPr>
        <w:t xml:space="preserve"> • Evaluarea stării tehnice a autovehiculului și a componentelor.</w:t>
      </w:r>
      <w:r w:rsidRPr="002959E9">
        <w:rPr>
          <w:rFonts w:eastAsia="Calibri"/>
        </w:rPr>
        <w:tab/>
        <w:t xml:space="preserve"> </w:t>
      </w:r>
    </w:p>
    <w:p w14:paraId="43BEE3E9" w14:textId="77777777" w:rsidR="002959E9" w:rsidRPr="002959E9" w:rsidRDefault="002959E9" w:rsidP="002959E9">
      <w:pPr>
        <w:spacing w:after="160"/>
        <w:ind w:left="0"/>
        <w:jc w:val="left"/>
        <w:rPr>
          <w:rFonts w:eastAsia="Calibri"/>
        </w:rPr>
      </w:pPr>
      <w:r w:rsidRPr="002959E9">
        <w:rPr>
          <w:rFonts w:eastAsia="Calibri"/>
        </w:rPr>
        <w:t xml:space="preserve"> • Verificarea parametrilor de siguranță și performanță. </w:t>
      </w:r>
    </w:p>
    <w:p w14:paraId="0D3A28E8" w14:textId="77777777" w:rsidR="002959E9" w:rsidRPr="002959E9" w:rsidRDefault="002959E9" w:rsidP="002959E9">
      <w:pPr>
        <w:spacing w:after="160"/>
        <w:ind w:left="0"/>
        <w:jc w:val="left"/>
        <w:rPr>
          <w:rFonts w:eastAsia="Calibri"/>
        </w:rPr>
      </w:pPr>
    </w:p>
    <w:p w14:paraId="0B3FF5CC" w14:textId="77777777" w:rsidR="002959E9" w:rsidRPr="002959E9" w:rsidRDefault="002959E9" w:rsidP="002959E9">
      <w:pPr>
        <w:spacing w:after="160"/>
        <w:ind w:left="0"/>
        <w:jc w:val="left"/>
        <w:rPr>
          <w:rFonts w:eastAsia="Calibri"/>
          <w:b/>
        </w:rPr>
      </w:pPr>
      <w:r w:rsidRPr="002959E9">
        <w:rPr>
          <w:rFonts w:eastAsia="Calibri"/>
          <w:b/>
        </w:rPr>
        <w:t xml:space="preserve">Capitolul VII — Evaluarea eficienței energetice </w:t>
      </w:r>
    </w:p>
    <w:p w14:paraId="2FC5385A" w14:textId="77777777" w:rsidR="002959E9" w:rsidRPr="002959E9" w:rsidRDefault="002959E9" w:rsidP="002959E9">
      <w:pPr>
        <w:spacing w:after="160"/>
        <w:ind w:left="0"/>
        <w:jc w:val="left"/>
        <w:rPr>
          <w:rFonts w:eastAsia="Calibri"/>
        </w:rPr>
      </w:pPr>
      <w:r w:rsidRPr="002959E9">
        <w:rPr>
          <w:rFonts w:eastAsia="Calibri"/>
        </w:rPr>
        <w:t>•</w:t>
      </w:r>
      <w:r w:rsidRPr="002959E9">
        <w:rPr>
          <w:rFonts w:eastAsia="Calibri"/>
        </w:rPr>
        <w:tab/>
        <w:t xml:space="preserve">Noțiuni de consum specific și emisii poluante. </w:t>
      </w:r>
    </w:p>
    <w:p w14:paraId="3C0F92BD" w14:textId="77777777" w:rsidR="002959E9" w:rsidRPr="002959E9" w:rsidRDefault="002959E9" w:rsidP="002959E9">
      <w:pPr>
        <w:spacing w:after="160"/>
        <w:ind w:left="0"/>
        <w:jc w:val="left"/>
        <w:rPr>
          <w:rFonts w:eastAsia="Calibri"/>
        </w:rPr>
      </w:pPr>
      <w:r w:rsidRPr="002959E9">
        <w:rPr>
          <w:rFonts w:eastAsia="Calibri"/>
        </w:rPr>
        <w:t xml:space="preserve">•         Factori care influențează eficiența energetică. </w:t>
      </w:r>
    </w:p>
    <w:p w14:paraId="3C7D1F6C" w14:textId="77777777" w:rsidR="002959E9" w:rsidRPr="002959E9" w:rsidRDefault="002959E9" w:rsidP="002959E9">
      <w:pPr>
        <w:spacing w:after="160"/>
        <w:ind w:left="0"/>
        <w:jc w:val="left"/>
        <w:rPr>
          <w:rFonts w:eastAsia="Calibri"/>
        </w:rPr>
      </w:pPr>
      <w:r w:rsidRPr="002959E9">
        <w:rPr>
          <w:rFonts w:eastAsia="Calibri"/>
        </w:rPr>
        <w:t>•</w:t>
      </w:r>
      <w:r w:rsidRPr="002959E9">
        <w:rPr>
          <w:rFonts w:eastAsia="Calibri"/>
        </w:rPr>
        <w:tab/>
        <w:t>Metode de măsurare și evaluare a performanței energetice.</w:t>
      </w:r>
    </w:p>
    <w:p w14:paraId="272B4602" w14:textId="77777777" w:rsidR="002959E9" w:rsidRPr="002959E9" w:rsidRDefault="002959E9" w:rsidP="002959E9">
      <w:pPr>
        <w:spacing w:after="160"/>
        <w:ind w:left="0"/>
        <w:jc w:val="left"/>
        <w:rPr>
          <w:rFonts w:eastAsia="Calibri"/>
        </w:rPr>
      </w:pPr>
    </w:p>
    <w:p w14:paraId="4229710D" w14:textId="77777777" w:rsidR="002959E9" w:rsidRPr="002959E9" w:rsidRDefault="002959E9" w:rsidP="002959E9">
      <w:pPr>
        <w:spacing w:after="160"/>
        <w:ind w:left="0"/>
        <w:jc w:val="left"/>
        <w:rPr>
          <w:rFonts w:eastAsia="Calibri"/>
          <w:b/>
        </w:rPr>
      </w:pPr>
      <w:r w:rsidRPr="002959E9">
        <w:rPr>
          <w:rFonts w:eastAsia="Calibri"/>
        </w:rPr>
        <w:t xml:space="preserve"> </w:t>
      </w:r>
      <w:r w:rsidRPr="002959E9">
        <w:rPr>
          <w:rFonts w:eastAsia="Calibri"/>
          <w:b/>
        </w:rPr>
        <w:t xml:space="preserve">Capitolul VIII — Stabilirea circumstanțelor producerii accidentelor rutiere  </w:t>
      </w:r>
    </w:p>
    <w:p w14:paraId="4AE2CDA6" w14:textId="77777777" w:rsidR="002959E9" w:rsidRPr="002959E9" w:rsidRDefault="002959E9" w:rsidP="002959E9">
      <w:pPr>
        <w:spacing w:after="160"/>
        <w:ind w:left="0"/>
        <w:jc w:val="left"/>
        <w:rPr>
          <w:rFonts w:eastAsia="Calibri"/>
        </w:rPr>
      </w:pPr>
      <w:r w:rsidRPr="002959E9">
        <w:rPr>
          <w:rFonts w:eastAsia="Calibri"/>
        </w:rPr>
        <w:t>•</w:t>
      </w:r>
      <w:r w:rsidRPr="002959E9">
        <w:rPr>
          <w:rFonts w:eastAsia="Calibri"/>
        </w:rPr>
        <w:tab/>
        <w:t xml:space="preserve">Analiza respectării prevederilor legislației rutiere în vigoare. </w:t>
      </w:r>
    </w:p>
    <w:p w14:paraId="79F82F8B" w14:textId="77777777" w:rsidR="002959E9" w:rsidRPr="002959E9" w:rsidRDefault="002959E9" w:rsidP="002959E9">
      <w:pPr>
        <w:spacing w:after="160"/>
        <w:ind w:left="0"/>
        <w:jc w:val="left"/>
        <w:rPr>
          <w:rFonts w:eastAsia="Calibri"/>
        </w:rPr>
      </w:pPr>
      <w:r w:rsidRPr="002959E9">
        <w:rPr>
          <w:rFonts w:eastAsia="Calibri"/>
        </w:rPr>
        <w:t>•</w:t>
      </w:r>
      <w:r w:rsidRPr="002959E9">
        <w:rPr>
          <w:rFonts w:eastAsia="Calibri"/>
        </w:rPr>
        <w:tab/>
        <w:t>Factori determinanți în producerea accidentelor: uman, tehnic, de mediu.</w:t>
      </w:r>
    </w:p>
    <w:p w14:paraId="4144EA52" w14:textId="77777777" w:rsidR="002959E9" w:rsidRPr="002959E9" w:rsidRDefault="002959E9" w:rsidP="002959E9">
      <w:pPr>
        <w:spacing w:after="160"/>
        <w:ind w:left="0"/>
        <w:jc w:val="left"/>
        <w:rPr>
          <w:rFonts w:eastAsia="Calibri"/>
        </w:rPr>
      </w:pPr>
      <w:r w:rsidRPr="002959E9">
        <w:rPr>
          <w:rFonts w:eastAsia="Calibri"/>
        </w:rPr>
        <w:t>•        Metodologia elaborării raportului tehnic de expertiză.</w:t>
      </w:r>
    </w:p>
    <w:p w14:paraId="0BDE2B53" w14:textId="77777777" w:rsidR="002959E9" w:rsidRPr="002959E9" w:rsidRDefault="002959E9" w:rsidP="002959E9">
      <w:pPr>
        <w:spacing w:after="160"/>
        <w:ind w:left="0"/>
        <w:jc w:val="left"/>
        <w:rPr>
          <w:rFonts w:eastAsia="Calibri"/>
        </w:rPr>
      </w:pPr>
    </w:p>
    <w:p w14:paraId="6530D954" w14:textId="77777777" w:rsidR="002959E9" w:rsidRPr="002959E9" w:rsidRDefault="002959E9" w:rsidP="002959E9">
      <w:pPr>
        <w:spacing w:after="160"/>
        <w:ind w:left="0"/>
        <w:jc w:val="left"/>
        <w:rPr>
          <w:rFonts w:eastAsia="Calibri"/>
          <w:b/>
        </w:rPr>
      </w:pPr>
      <w:r w:rsidRPr="002959E9">
        <w:rPr>
          <w:rFonts w:eastAsia="Calibri"/>
          <w:b/>
        </w:rPr>
        <w:t>Capitolul IX — Evaluarea soluțiilor tehnice și a costurilor de reparație</w:t>
      </w:r>
    </w:p>
    <w:p w14:paraId="1E0E64FA" w14:textId="77777777" w:rsidR="002959E9" w:rsidRPr="002959E9" w:rsidRDefault="002959E9" w:rsidP="002959E9">
      <w:pPr>
        <w:spacing w:after="160"/>
        <w:ind w:left="0"/>
        <w:jc w:val="left"/>
        <w:rPr>
          <w:rFonts w:eastAsia="Calibri"/>
        </w:rPr>
      </w:pPr>
      <w:r w:rsidRPr="002959E9">
        <w:rPr>
          <w:rFonts w:eastAsia="Calibri"/>
        </w:rPr>
        <w:t>•</w:t>
      </w:r>
      <w:r w:rsidRPr="002959E9">
        <w:rPr>
          <w:rFonts w:eastAsia="Calibri"/>
        </w:rPr>
        <w:tab/>
        <w:t>Metode de estimare a daunelor și a lucrărilor de reparație.</w:t>
      </w:r>
    </w:p>
    <w:p w14:paraId="29448F28" w14:textId="77777777" w:rsidR="002959E9" w:rsidRPr="002959E9" w:rsidRDefault="002959E9" w:rsidP="002959E9">
      <w:pPr>
        <w:spacing w:after="160"/>
        <w:ind w:left="0"/>
        <w:jc w:val="left"/>
        <w:rPr>
          <w:rFonts w:eastAsia="Calibri"/>
        </w:rPr>
      </w:pPr>
      <w:r w:rsidRPr="002959E9">
        <w:rPr>
          <w:rFonts w:eastAsia="Calibri"/>
        </w:rPr>
        <w:t>•</w:t>
      </w:r>
      <w:r w:rsidRPr="002959E9">
        <w:rPr>
          <w:rFonts w:eastAsia="Calibri"/>
        </w:rPr>
        <w:tab/>
        <w:t>Calculul costurilor conform normativelor și tarifelor tehnice.</w:t>
      </w:r>
    </w:p>
    <w:p w14:paraId="4634BE2F" w14:textId="77777777" w:rsidR="002959E9" w:rsidRPr="002959E9" w:rsidRDefault="002959E9" w:rsidP="002959E9">
      <w:pPr>
        <w:spacing w:after="160"/>
        <w:ind w:left="0"/>
        <w:jc w:val="left"/>
        <w:rPr>
          <w:rFonts w:eastAsia="Calibri"/>
        </w:rPr>
      </w:pPr>
      <w:r w:rsidRPr="002959E9">
        <w:rPr>
          <w:rFonts w:eastAsia="Calibri"/>
        </w:rPr>
        <w:t>•         Evaluarea calității și conformității lucrărilor de reparație.</w:t>
      </w:r>
    </w:p>
    <w:p w14:paraId="7070E3F1" w14:textId="77777777" w:rsidR="002959E9" w:rsidRPr="002959E9" w:rsidRDefault="002959E9" w:rsidP="002959E9">
      <w:pPr>
        <w:spacing w:after="160"/>
        <w:ind w:left="0"/>
        <w:jc w:val="left"/>
        <w:rPr>
          <w:rFonts w:eastAsia="Calibri"/>
        </w:rPr>
      </w:pPr>
      <w:r w:rsidRPr="002959E9">
        <w:rPr>
          <w:rFonts w:eastAsia="Calibri"/>
        </w:rPr>
        <w:t>•</w:t>
      </w:r>
      <w:r w:rsidRPr="002959E9">
        <w:rPr>
          <w:rFonts w:eastAsia="Calibri"/>
        </w:rPr>
        <w:tab/>
        <w:t>Programe software specializate în estimarea daunelor și a lucrărilor de reparație.</w:t>
      </w:r>
    </w:p>
    <w:p w14:paraId="35E590B5" w14:textId="77777777" w:rsidR="002959E9" w:rsidRPr="002959E9" w:rsidRDefault="002959E9" w:rsidP="002959E9">
      <w:pPr>
        <w:spacing w:after="160"/>
        <w:ind w:left="0"/>
        <w:jc w:val="left"/>
        <w:rPr>
          <w:rFonts w:eastAsia="Calibri"/>
        </w:rPr>
      </w:pPr>
    </w:p>
    <w:p w14:paraId="42ED48D8" w14:textId="77777777" w:rsidR="002959E9" w:rsidRPr="002959E9" w:rsidRDefault="002959E9" w:rsidP="002959E9">
      <w:pPr>
        <w:spacing w:after="160"/>
        <w:ind w:left="0"/>
        <w:jc w:val="left"/>
        <w:rPr>
          <w:rFonts w:eastAsia="Calibri"/>
          <w:b/>
        </w:rPr>
      </w:pPr>
      <w:r w:rsidRPr="002959E9">
        <w:rPr>
          <w:rFonts w:eastAsia="Calibri"/>
        </w:rPr>
        <w:t xml:space="preserve"> </w:t>
      </w:r>
      <w:r w:rsidRPr="002959E9">
        <w:rPr>
          <w:rFonts w:eastAsia="Calibri"/>
          <w:b/>
        </w:rPr>
        <w:t>Capitolul X — Evaluarea valorii autovehiculelor</w:t>
      </w:r>
    </w:p>
    <w:p w14:paraId="24105F30" w14:textId="77777777" w:rsidR="002959E9" w:rsidRPr="002959E9" w:rsidRDefault="002959E9" w:rsidP="002959E9">
      <w:pPr>
        <w:spacing w:after="160"/>
        <w:ind w:left="0"/>
        <w:jc w:val="left"/>
        <w:rPr>
          <w:rFonts w:eastAsia="Calibri"/>
        </w:rPr>
      </w:pPr>
      <w:r w:rsidRPr="002959E9">
        <w:rPr>
          <w:rFonts w:eastAsia="Calibri"/>
        </w:rPr>
        <w:t>•         Determinarea valorii de piață înainte și după accident.</w:t>
      </w:r>
    </w:p>
    <w:p w14:paraId="23206A50" w14:textId="77777777" w:rsidR="002959E9" w:rsidRPr="002959E9" w:rsidRDefault="002959E9" w:rsidP="002959E9">
      <w:pPr>
        <w:spacing w:after="160"/>
        <w:ind w:left="0"/>
        <w:jc w:val="left"/>
        <w:rPr>
          <w:rFonts w:eastAsia="Calibri"/>
        </w:rPr>
      </w:pPr>
      <w:r w:rsidRPr="002959E9">
        <w:rPr>
          <w:rFonts w:eastAsia="Calibri"/>
        </w:rPr>
        <w:t>•</w:t>
      </w:r>
      <w:r w:rsidRPr="002959E9">
        <w:rPr>
          <w:rFonts w:eastAsia="Calibri"/>
        </w:rPr>
        <w:tab/>
        <w:t xml:space="preserve">Metode de evaluarea deprecierii comerciale și tehnice. </w:t>
      </w:r>
    </w:p>
    <w:p w14:paraId="2D9B498B" w14:textId="77777777" w:rsidR="002959E9" w:rsidRPr="002959E9" w:rsidRDefault="002959E9" w:rsidP="002959E9">
      <w:pPr>
        <w:spacing w:after="160"/>
        <w:ind w:left="0"/>
        <w:jc w:val="left"/>
        <w:rPr>
          <w:rFonts w:eastAsia="Calibri"/>
        </w:rPr>
      </w:pPr>
      <w:r w:rsidRPr="002959E9">
        <w:rPr>
          <w:rFonts w:eastAsia="Calibri"/>
        </w:rPr>
        <w:t>•</w:t>
      </w:r>
      <w:r w:rsidRPr="002959E9">
        <w:rPr>
          <w:rFonts w:eastAsia="Calibri"/>
        </w:rPr>
        <w:tab/>
        <w:t>Criterii legale și metodologice (inclusiv normele Autorității de Supraveghere Financiară).</w:t>
      </w:r>
    </w:p>
    <w:p w14:paraId="3961221A" w14:textId="77777777" w:rsidR="002959E9" w:rsidRPr="002959E9" w:rsidRDefault="002959E9" w:rsidP="002959E9">
      <w:pPr>
        <w:spacing w:after="160"/>
        <w:ind w:left="0"/>
        <w:jc w:val="left"/>
        <w:rPr>
          <w:rFonts w:eastAsia="Calibri"/>
        </w:rPr>
      </w:pPr>
      <w:r w:rsidRPr="002959E9">
        <w:rPr>
          <w:rFonts w:eastAsia="Calibri"/>
        </w:rPr>
        <w:t>•</w:t>
      </w:r>
      <w:r w:rsidRPr="002959E9">
        <w:rPr>
          <w:rFonts w:eastAsia="Calibri"/>
        </w:rPr>
        <w:tab/>
        <w:t>Programe software specializate în stabilirea valorii de piață înainte și după accident.</w:t>
      </w:r>
    </w:p>
    <w:p w14:paraId="5E6619A8" w14:textId="77777777" w:rsidR="002959E9" w:rsidRPr="002959E9" w:rsidRDefault="002959E9" w:rsidP="002959E9">
      <w:pPr>
        <w:spacing w:after="160"/>
        <w:ind w:left="0"/>
        <w:jc w:val="left"/>
        <w:rPr>
          <w:rFonts w:eastAsia="Calibri"/>
        </w:rPr>
      </w:pPr>
    </w:p>
    <w:p w14:paraId="0DF3368C" w14:textId="77777777" w:rsidR="002959E9" w:rsidRPr="002959E9" w:rsidRDefault="002959E9" w:rsidP="002959E9">
      <w:pPr>
        <w:spacing w:after="160"/>
        <w:ind w:left="0"/>
        <w:jc w:val="left"/>
        <w:rPr>
          <w:rFonts w:eastAsia="Calibri"/>
          <w:b/>
        </w:rPr>
      </w:pPr>
      <w:r w:rsidRPr="002959E9">
        <w:rPr>
          <w:rFonts w:eastAsia="Calibri"/>
        </w:rPr>
        <w:t xml:space="preserve"> </w:t>
      </w:r>
      <w:r w:rsidRPr="002959E9">
        <w:rPr>
          <w:rFonts w:eastAsia="Calibri"/>
          <w:b/>
        </w:rPr>
        <w:t>Capitolul XI — Cadrul legislativ și normativ aplicabil</w:t>
      </w:r>
    </w:p>
    <w:p w14:paraId="46805DA5" w14:textId="77777777" w:rsidR="002959E9" w:rsidRPr="002959E9" w:rsidRDefault="002959E9" w:rsidP="002959E9">
      <w:pPr>
        <w:spacing w:after="160"/>
        <w:ind w:left="0"/>
        <w:jc w:val="left"/>
        <w:rPr>
          <w:rFonts w:eastAsia="Calibri"/>
        </w:rPr>
      </w:pPr>
      <w:r w:rsidRPr="002959E9">
        <w:rPr>
          <w:rFonts w:eastAsia="Calibri"/>
        </w:rPr>
        <w:t>•         Codul rutier și reglementările privind circulația pe drumurile publice.</w:t>
      </w:r>
    </w:p>
    <w:p w14:paraId="4595530A" w14:textId="77777777" w:rsidR="002959E9" w:rsidRPr="002959E9" w:rsidRDefault="002959E9" w:rsidP="002959E9">
      <w:pPr>
        <w:spacing w:after="160"/>
        <w:ind w:left="0"/>
        <w:jc w:val="left"/>
        <w:rPr>
          <w:rFonts w:eastAsia="Calibri"/>
        </w:rPr>
      </w:pPr>
      <w:r w:rsidRPr="002959E9">
        <w:rPr>
          <w:rFonts w:eastAsia="Calibri"/>
        </w:rPr>
        <w:t>•</w:t>
      </w:r>
      <w:r w:rsidRPr="002959E9">
        <w:rPr>
          <w:rFonts w:eastAsia="Calibri"/>
        </w:rPr>
        <w:tab/>
        <w:t>Legislația privind omologarea, înmatricularea și inspecția tehnică a autovehiculelor.</w:t>
      </w:r>
    </w:p>
    <w:p w14:paraId="0C9F8725" w14:textId="15680D0C" w:rsidR="002959E9" w:rsidRPr="002959E9" w:rsidRDefault="002959E9" w:rsidP="002959E9">
      <w:pPr>
        <w:spacing w:after="160"/>
        <w:ind w:left="0"/>
        <w:jc w:val="left"/>
        <w:rPr>
          <w:rFonts w:eastAsia="Calibri"/>
        </w:rPr>
      </w:pPr>
      <w:r w:rsidRPr="002959E9">
        <w:rPr>
          <w:rFonts w:eastAsia="Calibri"/>
        </w:rPr>
        <w:t>•</w:t>
      </w:r>
      <w:r w:rsidRPr="002959E9">
        <w:rPr>
          <w:rFonts w:eastAsia="Calibri"/>
        </w:rPr>
        <w:tab/>
        <w:t>Standarde tehnice și metodologii aplicabile expertizei judiciare în domeniul auto.</w:t>
      </w:r>
    </w:p>
    <w:p w14:paraId="5F10481E" w14:textId="77777777" w:rsidR="002959E9" w:rsidRPr="002959E9" w:rsidRDefault="002959E9" w:rsidP="002959E9">
      <w:pPr>
        <w:spacing w:after="160"/>
        <w:ind w:left="0"/>
        <w:jc w:val="left"/>
        <w:rPr>
          <w:rFonts w:eastAsia="Calibri"/>
        </w:rPr>
      </w:pPr>
    </w:p>
    <w:p w14:paraId="0EAB9126" w14:textId="77777777" w:rsidR="002959E9" w:rsidRPr="002959E9" w:rsidRDefault="002959E9" w:rsidP="002959E9">
      <w:pPr>
        <w:spacing w:after="160"/>
        <w:ind w:left="0"/>
        <w:jc w:val="center"/>
        <w:rPr>
          <w:rFonts w:eastAsia="Calibri"/>
        </w:rPr>
      </w:pPr>
      <w:r w:rsidRPr="002959E9">
        <w:rPr>
          <w:rFonts w:eastAsia="Calibri"/>
        </w:rPr>
        <w:t>*    *</w:t>
      </w:r>
    </w:p>
    <w:p w14:paraId="66EC2802" w14:textId="77777777" w:rsidR="002959E9" w:rsidRPr="002959E9" w:rsidRDefault="002959E9" w:rsidP="002959E9">
      <w:pPr>
        <w:spacing w:after="160"/>
        <w:ind w:left="0"/>
        <w:jc w:val="center"/>
        <w:rPr>
          <w:rFonts w:eastAsia="Calibri"/>
        </w:rPr>
      </w:pPr>
      <w:r w:rsidRPr="002959E9">
        <w:rPr>
          <w:rFonts w:eastAsia="Calibri"/>
        </w:rPr>
        <w:t>*</w:t>
      </w:r>
    </w:p>
    <w:p w14:paraId="0CC7C054" w14:textId="77777777" w:rsidR="002959E9" w:rsidRPr="002959E9" w:rsidRDefault="002959E9" w:rsidP="002959E9">
      <w:pPr>
        <w:spacing w:after="160"/>
        <w:ind w:left="0"/>
        <w:jc w:val="center"/>
        <w:rPr>
          <w:rFonts w:eastAsia="Calibri"/>
        </w:rPr>
      </w:pPr>
    </w:p>
    <w:p w14:paraId="662A03B2" w14:textId="77777777" w:rsidR="002959E9" w:rsidRPr="002959E9" w:rsidRDefault="002959E9" w:rsidP="002959E9">
      <w:pPr>
        <w:spacing w:after="160"/>
        <w:ind w:left="0"/>
        <w:jc w:val="left"/>
        <w:rPr>
          <w:rFonts w:eastAsia="Calibri"/>
          <w:b/>
          <w:i/>
        </w:rPr>
      </w:pPr>
      <w:r w:rsidRPr="002959E9">
        <w:rPr>
          <w:rFonts w:eastAsia="Calibri"/>
          <w:b/>
        </w:rPr>
        <w:t xml:space="preserve">B. </w:t>
      </w:r>
      <w:r w:rsidRPr="002959E9">
        <w:rPr>
          <w:rFonts w:eastAsia="Calibri"/>
          <w:b/>
          <w:i/>
        </w:rPr>
        <w:t>Elemente generale privind activitatea de expertiză tehnică judiciară</w:t>
      </w:r>
    </w:p>
    <w:p w14:paraId="74DCB1CE" w14:textId="77777777" w:rsidR="002959E9" w:rsidRPr="002959E9" w:rsidRDefault="002959E9" w:rsidP="002959E9">
      <w:pPr>
        <w:spacing w:after="160" w:line="259" w:lineRule="auto"/>
        <w:ind w:left="0" w:firstLine="66"/>
        <w:jc w:val="left"/>
        <w:rPr>
          <w:rFonts w:eastAsia="Calibri" w:cs="Arial"/>
          <w:b/>
          <w:i/>
        </w:rPr>
      </w:pPr>
      <w:r w:rsidRPr="002959E9">
        <w:rPr>
          <w:rFonts w:eastAsia="Calibri" w:cs="Arial"/>
          <w:b/>
          <w:i/>
        </w:rPr>
        <w:t xml:space="preserve">I. Ordonanța Guvernului nr. 2/2000 privind organizarea activității de expertiză tehnică judiciară și extrajudiciară, cu modificările și completările ulterioare. </w:t>
      </w:r>
    </w:p>
    <w:p w14:paraId="519E2C7D" w14:textId="77777777" w:rsidR="002959E9" w:rsidRPr="002959E9" w:rsidRDefault="002959E9" w:rsidP="002959E9">
      <w:pPr>
        <w:spacing w:after="160" w:line="259" w:lineRule="auto"/>
        <w:ind w:left="0"/>
        <w:jc w:val="left"/>
        <w:rPr>
          <w:rFonts w:eastAsia="Calibri" w:cs="Arial"/>
        </w:rPr>
      </w:pPr>
      <w:r w:rsidRPr="002959E9">
        <w:rPr>
          <w:rFonts w:eastAsia="Calibri" w:cs="Arial"/>
        </w:rPr>
        <w:t>1. Dispoziții generale privind organizarea activității de expertiză tehnică judiciară.</w:t>
      </w:r>
    </w:p>
    <w:p w14:paraId="3C1D8C9B" w14:textId="77777777" w:rsidR="002959E9" w:rsidRPr="002959E9" w:rsidRDefault="002959E9" w:rsidP="002959E9">
      <w:pPr>
        <w:spacing w:after="160" w:line="259" w:lineRule="auto"/>
        <w:ind w:left="0"/>
        <w:jc w:val="left"/>
        <w:rPr>
          <w:rFonts w:eastAsia="Calibri" w:cs="Arial"/>
        </w:rPr>
      </w:pPr>
      <w:r w:rsidRPr="002959E9">
        <w:rPr>
          <w:rFonts w:eastAsia="Calibri" w:cs="Arial"/>
        </w:rPr>
        <w:t>2. Calitatea de expert tehnic judiciar.</w:t>
      </w:r>
    </w:p>
    <w:p w14:paraId="54A7DDF0" w14:textId="77777777" w:rsidR="002959E9" w:rsidRPr="002959E9" w:rsidRDefault="002959E9" w:rsidP="002959E9">
      <w:pPr>
        <w:spacing w:after="160" w:line="259" w:lineRule="auto"/>
        <w:ind w:left="0"/>
        <w:jc w:val="left"/>
        <w:rPr>
          <w:rFonts w:eastAsia="Calibri" w:cs="Arial"/>
        </w:rPr>
      </w:pPr>
      <w:r w:rsidRPr="002959E9">
        <w:rPr>
          <w:rFonts w:eastAsia="Calibri" w:cs="Arial"/>
        </w:rPr>
        <w:t>3. Reguli procedurale privind expertiza tehnică judiciară.</w:t>
      </w:r>
    </w:p>
    <w:p w14:paraId="46FA32E7" w14:textId="77777777" w:rsidR="002959E9" w:rsidRPr="002959E9" w:rsidRDefault="002959E9" w:rsidP="002959E9">
      <w:pPr>
        <w:spacing w:after="160" w:line="259" w:lineRule="auto"/>
        <w:ind w:left="0"/>
        <w:jc w:val="left"/>
        <w:rPr>
          <w:rFonts w:eastAsia="Calibri" w:cs="Arial"/>
        </w:rPr>
      </w:pPr>
      <w:r w:rsidRPr="002959E9">
        <w:rPr>
          <w:rFonts w:eastAsia="Calibri" w:cs="Arial"/>
        </w:rPr>
        <w:t>4. Organizarea activității de expertiză tehnică extrajudiciară.</w:t>
      </w:r>
    </w:p>
    <w:p w14:paraId="077FA548" w14:textId="77777777" w:rsidR="002959E9" w:rsidRPr="002959E9" w:rsidRDefault="002959E9" w:rsidP="002959E9">
      <w:pPr>
        <w:spacing w:after="160" w:line="259" w:lineRule="auto"/>
        <w:ind w:left="0"/>
        <w:jc w:val="left"/>
        <w:rPr>
          <w:rFonts w:eastAsia="Calibri" w:cs="Arial"/>
        </w:rPr>
      </w:pPr>
      <w:r w:rsidRPr="002959E9">
        <w:rPr>
          <w:rFonts w:eastAsia="Calibri" w:cs="Arial"/>
        </w:rPr>
        <w:t>5. Atribuțiile compartimentului de specialitate din Ministerul Justiției care îndeplinește atribuțiile acestei instituții privind experții tehnici judiciari și ale birourilor locale pentru expertize judiciare tehnice și contabile din cadrul tribunalelor.</w:t>
      </w:r>
    </w:p>
    <w:p w14:paraId="46F47B12" w14:textId="77777777" w:rsidR="002959E9" w:rsidRPr="002959E9" w:rsidRDefault="002959E9" w:rsidP="002959E9">
      <w:pPr>
        <w:spacing w:after="160" w:line="259" w:lineRule="auto"/>
        <w:ind w:left="0"/>
        <w:jc w:val="left"/>
        <w:rPr>
          <w:rFonts w:eastAsia="Calibri" w:cs="Arial"/>
        </w:rPr>
      </w:pPr>
      <w:r w:rsidRPr="002959E9">
        <w:rPr>
          <w:rFonts w:eastAsia="Calibri" w:cs="Arial"/>
        </w:rPr>
        <w:lastRenderedPageBreak/>
        <w:t>6. Răspunderi și sancțiuni pentru neefectuarea expertizei tehnice judiciare.</w:t>
      </w:r>
    </w:p>
    <w:p w14:paraId="2C22390F" w14:textId="77777777" w:rsidR="002959E9" w:rsidRPr="002959E9" w:rsidRDefault="002959E9" w:rsidP="002959E9">
      <w:pPr>
        <w:spacing w:after="160" w:line="259" w:lineRule="auto"/>
        <w:ind w:left="0"/>
        <w:jc w:val="left"/>
        <w:rPr>
          <w:rFonts w:eastAsia="Calibri" w:cs="Arial"/>
        </w:rPr>
      </w:pPr>
      <w:r w:rsidRPr="002959E9">
        <w:rPr>
          <w:rFonts w:eastAsia="Calibri" w:cs="Arial"/>
        </w:rPr>
        <w:t>7. Dispoziții tranzitorii și finale privind organizarea activității de expertiză tehnică judiciară.</w:t>
      </w:r>
    </w:p>
    <w:p w14:paraId="37F3ADEC" w14:textId="77777777" w:rsidR="002959E9" w:rsidRPr="002959E9" w:rsidRDefault="002959E9" w:rsidP="002959E9">
      <w:pPr>
        <w:spacing w:after="160" w:line="259" w:lineRule="auto"/>
        <w:ind w:left="0"/>
        <w:jc w:val="left"/>
        <w:rPr>
          <w:rFonts w:eastAsia="Calibri" w:cs="Arial"/>
        </w:rPr>
      </w:pPr>
    </w:p>
    <w:p w14:paraId="1A63F66D" w14:textId="7824E431" w:rsidR="002959E9" w:rsidRPr="002959E9" w:rsidRDefault="002959E9" w:rsidP="002959E9">
      <w:pPr>
        <w:spacing w:after="160" w:line="259" w:lineRule="auto"/>
        <w:ind w:left="0"/>
        <w:jc w:val="left"/>
        <w:rPr>
          <w:rFonts w:eastAsia="Calibri" w:cs="Arial"/>
          <w:b/>
          <w:i/>
        </w:rPr>
      </w:pPr>
      <w:r w:rsidRPr="002959E9">
        <w:rPr>
          <w:rFonts w:eastAsia="Calibri" w:cs="Arial"/>
          <w:b/>
          <w:i/>
        </w:rPr>
        <w:t xml:space="preserve">II. </w:t>
      </w:r>
      <w:bookmarkStart w:id="1" w:name="_Hlk212589556"/>
      <w:r w:rsidRPr="002959E9">
        <w:rPr>
          <w:rFonts w:eastAsia="Calibri" w:cs="Arial"/>
          <w:b/>
          <w:i/>
        </w:rPr>
        <w:t xml:space="preserve">Regulamentul privind desfășurarea examenului şi a </w:t>
      </w:r>
      <w:r w:rsidR="00C42798">
        <w:rPr>
          <w:rFonts w:eastAsia="Calibri" w:cs="Arial"/>
          <w:b/>
          <w:i/>
        </w:rPr>
        <w:t>examenu</w:t>
      </w:r>
      <w:r w:rsidRPr="002959E9">
        <w:rPr>
          <w:rFonts w:eastAsia="Calibri" w:cs="Arial"/>
          <w:b/>
          <w:i/>
        </w:rPr>
        <w:t>lui pentru atribuirea calităţii de expert tehnic judiciar şi testarea profesională a specialiștilor care efectuează expertize tehnice judiciare, aprobat prin Ordinul ministrului justiției nr. 2059/C/2025</w:t>
      </w:r>
      <w:bookmarkEnd w:id="1"/>
    </w:p>
    <w:p w14:paraId="07F17636" w14:textId="77777777" w:rsidR="002959E9" w:rsidRPr="002959E9" w:rsidRDefault="002959E9" w:rsidP="002959E9">
      <w:pPr>
        <w:tabs>
          <w:tab w:val="right" w:pos="9497"/>
        </w:tabs>
        <w:spacing w:after="160" w:line="259" w:lineRule="auto"/>
        <w:ind w:left="0"/>
        <w:jc w:val="left"/>
        <w:rPr>
          <w:rFonts w:eastAsia="Calibri" w:cs="Arial"/>
        </w:rPr>
      </w:pPr>
      <w:r w:rsidRPr="002959E9">
        <w:rPr>
          <w:rFonts w:eastAsia="Calibri" w:cs="Arial"/>
        </w:rPr>
        <w:t>1. Dispoziții generale.</w:t>
      </w:r>
      <w:r w:rsidRPr="002959E9">
        <w:rPr>
          <w:rFonts w:eastAsia="Calibri" w:cs="Arial"/>
        </w:rPr>
        <w:tab/>
      </w:r>
    </w:p>
    <w:p w14:paraId="5550BB73" w14:textId="77777777" w:rsidR="002959E9" w:rsidRPr="002959E9" w:rsidRDefault="002959E9" w:rsidP="002959E9">
      <w:pPr>
        <w:spacing w:after="160" w:line="259" w:lineRule="auto"/>
        <w:ind w:left="0"/>
        <w:jc w:val="left"/>
        <w:rPr>
          <w:rFonts w:eastAsia="Calibri" w:cs="Arial"/>
        </w:rPr>
      </w:pPr>
      <w:r w:rsidRPr="002959E9">
        <w:rPr>
          <w:rFonts w:eastAsia="Calibri" w:cs="Arial"/>
        </w:rPr>
        <w:t>2. Examenul pentru atribuirea calității de expert tehnic judiciar.</w:t>
      </w:r>
    </w:p>
    <w:p w14:paraId="15340FB5" w14:textId="77777777" w:rsidR="002959E9" w:rsidRPr="002959E9" w:rsidRDefault="002959E9" w:rsidP="002959E9">
      <w:pPr>
        <w:spacing w:after="160" w:line="259" w:lineRule="auto"/>
        <w:ind w:left="0"/>
        <w:jc w:val="left"/>
        <w:rPr>
          <w:rFonts w:eastAsia="Calibri" w:cs="Arial"/>
        </w:rPr>
      </w:pPr>
      <w:r w:rsidRPr="002959E9">
        <w:rPr>
          <w:rFonts w:eastAsia="Calibri" w:cs="Arial"/>
        </w:rPr>
        <w:t>3. Interviul pentru atribuirea calității de expert tehnic judiciar.</w:t>
      </w:r>
    </w:p>
    <w:p w14:paraId="094B5FEF" w14:textId="77777777" w:rsidR="002959E9" w:rsidRPr="002959E9" w:rsidRDefault="002959E9" w:rsidP="002959E9">
      <w:pPr>
        <w:spacing w:after="160" w:line="259" w:lineRule="auto"/>
        <w:ind w:left="0"/>
        <w:jc w:val="left"/>
        <w:rPr>
          <w:rFonts w:eastAsia="Calibri" w:cs="Arial"/>
        </w:rPr>
      </w:pPr>
      <w:r w:rsidRPr="002959E9">
        <w:rPr>
          <w:rFonts w:eastAsia="Calibri" w:cs="Arial"/>
        </w:rPr>
        <w:t>4. Organizarea testării specialiștilor.</w:t>
      </w:r>
    </w:p>
    <w:p w14:paraId="2BAC0AC0" w14:textId="77777777" w:rsidR="002959E9" w:rsidRPr="002959E9" w:rsidRDefault="002959E9" w:rsidP="002959E9">
      <w:pPr>
        <w:spacing w:after="160" w:line="259" w:lineRule="auto"/>
        <w:ind w:left="0"/>
        <w:jc w:val="left"/>
        <w:rPr>
          <w:rFonts w:eastAsia="Calibri" w:cs="Arial"/>
        </w:rPr>
      </w:pPr>
      <w:r w:rsidRPr="002959E9">
        <w:rPr>
          <w:rFonts w:eastAsia="Calibri" w:cs="Arial"/>
        </w:rPr>
        <w:t>5. Dispoziții privind experții tehnici judiciari care au dobândit această calitate într-un stat membru al Uniunii Europene ori aparținând Spațiului Economic European.</w:t>
      </w:r>
    </w:p>
    <w:p w14:paraId="022520B3" w14:textId="77777777" w:rsidR="002959E9" w:rsidRPr="002959E9" w:rsidRDefault="002959E9" w:rsidP="002959E9">
      <w:pPr>
        <w:spacing w:after="160" w:line="259" w:lineRule="auto"/>
        <w:ind w:left="0"/>
        <w:jc w:val="left"/>
        <w:rPr>
          <w:rFonts w:eastAsia="Calibri" w:cs="Arial"/>
        </w:rPr>
      </w:pPr>
      <w:r w:rsidRPr="002959E9">
        <w:rPr>
          <w:rFonts w:eastAsia="Calibri" w:cs="Arial"/>
        </w:rPr>
        <w:t>6. Dispoziții finale.</w:t>
      </w:r>
    </w:p>
    <w:p w14:paraId="6564284D" w14:textId="77777777" w:rsidR="002959E9" w:rsidRPr="002959E9" w:rsidRDefault="002959E9" w:rsidP="002959E9">
      <w:pPr>
        <w:spacing w:after="160" w:line="259" w:lineRule="auto"/>
        <w:ind w:left="0"/>
        <w:jc w:val="left"/>
        <w:rPr>
          <w:rFonts w:eastAsia="Calibri" w:cs="Arial"/>
        </w:rPr>
      </w:pPr>
    </w:p>
    <w:p w14:paraId="4E6AF16F" w14:textId="77777777" w:rsidR="002959E9" w:rsidRPr="002959E9" w:rsidRDefault="002959E9" w:rsidP="002959E9">
      <w:pPr>
        <w:spacing w:after="160" w:line="259" w:lineRule="auto"/>
        <w:ind w:left="0"/>
        <w:jc w:val="left"/>
        <w:rPr>
          <w:rFonts w:eastAsia="Calibri" w:cs="Arial"/>
          <w:b/>
          <w:i/>
        </w:rPr>
      </w:pPr>
      <w:r w:rsidRPr="002959E9">
        <w:rPr>
          <w:rFonts w:eastAsia="Calibri" w:cs="Arial"/>
          <w:b/>
          <w:i/>
        </w:rPr>
        <w:t>III. Codul de procedură civilă</w:t>
      </w:r>
    </w:p>
    <w:p w14:paraId="77BD0989" w14:textId="77777777" w:rsidR="002959E9" w:rsidRPr="002959E9" w:rsidRDefault="002959E9" w:rsidP="002959E9">
      <w:pPr>
        <w:spacing w:after="160" w:line="259" w:lineRule="auto"/>
        <w:ind w:left="0"/>
        <w:jc w:val="left"/>
        <w:rPr>
          <w:rFonts w:eastAsia="Calibri" w:cs="Arial"/>
        </w:rPr>
      </w:pPr>
      <w:r w:rsidRPr="002959E9">
        <w:rPr>
          <w:rFonts w:eastAsia="Calibri" w:cs="Arial"/>
        </w:rPr>
        <w:t>1. Amenzi judiciare și despăgubiri.</w:t>
      </w:r>
    </w:p>
    <w:p w14:paraId="2A23C149" w14:textId="77777777" w:rsidR="002959E9" w:rsidRPr="002959E9" w:rsidRDefault="002959E9" w:rsidP="002959E9">
      <w:pPr>
        <w:spacing w:after="160" w:line="259" w:lineRule="auto"/>
        <w:ind w:left="0"/>
        <w:jc w:val="left"/>
        <w:rPr>
          <w:rFonts w:eastAsia="Calibri" w:cs="Arial"/>
        </w:rPr>
      </w:pPr>
      <w:r w:rsidRPr="002959E9">
        <w:rPr>
          <w:rFonts w:eastAsia="Calibri" w:cs="Arial"/>
        </w:rPr>
        <w:t>2. Expertiza.</w:t>
      </w:r>
    </w:p>
    <w:p w14:paraId="38BAD261" w14:textId="77777777" w:rsidR="002959E9" w:rsidRPr="002959E9" w:rsidRDefault="002959E9" w:rsidP="002959E9">
      <w:pPr>
        <w:spacing w:after="160" w:line="259" w:lineRule="auto"/>
        <w:ind w:left="0"/>
        <w:jc w:val="left"/>
        <w:rPr>
          <w:rFonts w:eastAsia="Calibri" w:cs="Arial"/>
        </w:rPr>
      </w:pPr>
    </w:p>
    <w:p w14:paraId="7225AA4D" w14:textId="77777777" w:rsidR="002959E9" w:rsidRPr="002959E9" w:rsidRDefault="002959E9" w:rsidP="002959E9">
      <w:pPr>
        <w:spacing w:after="160" w:line="259" w:lineRule="auto"/>
        <w:ind w:left="0"/>
        <w:jc w:val="left"/>
        <w:rPr>
          <w:rFonts w:eastAsia="Calibri" w:cs="Arial"/>
          <w:i/>
        </w:rPr>
      </w:pPr>
      <w:r w:rsidRPr="002959E9">
        <w:rPr>
          <w:rFonts w:eastAsia="Calibri" w:cs="Arial"/>
          <w:b/>
          <w:i/>
        </w:rPr>
        <w:t>IV. Codul de procedură penală</w:t>
      </w:r>
    </w:p>
    <w:p w14:paraId="2A034EB9" w14:textId="77777777" w:rsidR="002959E9" w:rsidRPr="002959E9" w:rsidRDefault="002959E9" w:rsidP="002959E9">
      <w:pPr>
        <w:spacing w:after="160" w:line="259" w:lineRule="auto"/>
        <w:ind w:left="0"/>
        <w:jc w:val="left"/>
        <w:rPr>
          <w:rFonts w:eastAsia="Calibri" w:cs="Arial"/>
        </w:rPr>
      </w:pPr>
      <w:r w:rsidRPr="002959E9">
        <w:rPr>
          <w:rFonts w:eastAsia="Calibri" w:cs="Arial"/>
        </w:rPr>
        <w:t>1. Expertiza și constatarea.</w:t>
      </w:r>
    </w:p>
    <w:p w14:paraId="5BEFE7B2" w14:textId="77777777" w:rsidR="002959E9" w:rsidRPr="002959E9" w:rsidRDefault="002959E9" w:rsidP="002959E9">
      <w:pPr>
        <w:spacing w:after="160" w:line="259" w:lineRule="auto"/>
        <w:ind w:left="0"/>
        <w:jc w:val="left"/>
        <w:rPr>
          <w:rFonts w:eastAsia="Calibri" w:cs="Arial"/>
        </w:rPr>
      </w:pPr>
      <w:r w:rsidRPr="002959E9">
        <w:rPr>
          <w:rFonts w:eastAsia="Calibri" w:cs="Arial"/>
        </w:rPr>
        <w:t>2. Abateri judiciare.</w:t>
      </w:r>
    </w:p>
    <w:p w14:paraId="1D98855D" w14:textId="77777777" w:rsidR="002959E9" w:rsidRPr="002959E9" w:rsidRDefault="002959E9" w:rsidP="002959E9">
      <w:pPr>
        <w:spacing w:after="160" w:line="259" w:lineRule="auto"/>
        <w:ind w:left="0"/>
        <w:jc w:val="left"/>
        <w:rPr>
          <w:rFonts w:eastAsia="Calibri" w:cs="Arial"/>
          <w:i/>
        </w:rPr>
      </w:pPr>
    </w:p>
    <w:p w14:paraId="7F40F143" w14:textId="096B0160" w:rsidR="002959E9" w:rsidRPr="002959E9" w:rsidRDefault="002959E9" w:rsidP="002959E9">
      <w:pPr>
        <w:spacing w:after="0"/>
        <w:ind w:left="0"/>
        <w:rPr>
          <w:rFonts w:eastAsia="Calibri" w:cs="Arial"/>
          <w:b/>
          <w:i/>
        </w:rPr>
      </w:pPr>
      <w:r w:rsidRPr="002959E9">
        <w:rPr>
          <w:rFonts w:eastAsia="Calibri" w:cs="Arial"/>
          <w:b/>
          <w:i/>
        </w:rPr>
        <w:t>Bibliografi</w:t>
      </w:r>
      <w:r w:rsidR="00AE7140">
        <w:rPr>
          <w:rFonts w:eastAsia="Calibri" w:cs="Arial"/>
          <w:b/>
          <w:i/>
        </w:rPr>
        <w:t xml:space="preserve">e </w:t>
      </w:r>
      <w:r w:rsidR="009B6FF6">
        <w:rPr>
          <w:rFonts w:eastAsia="Calibri" w:cs="Arial"/>
          <w:b/>
          <w:i/>
        </w:rPr>
        <w:t xml:space="preserve">referitoare la </w:t>
      </w:r>
      <w:r w:rsidR="009B6FF6" w:rsidRPr="002959E9">
        <w:rPr>
          <w:rFonts w:eastAsia="Calibri"/>
          <w:b/>
          <w:i/>
        </w:rPr>
        <w:t>activitatea de expertiză tehnică judiciară</w:t>
      </w:r>
    </w:p>
    <w:p w14:paraId="7974852E" w14:textId="77777777" w:rsidR="002959E9" w:rsidRPr="002959E9" w:rsidRDefault="002959E9" w:rsidP="002959E9">
      <w:pPr>
        <w:spacing w:after="0"/>
        <w:ind w:left="0"/>
        <w:rPr>
          <w:rFonts w:eastAsia="Calibri" w:cs="Arial"/>
          <w:b/>
          <w:i/>
        </w:rPr>
      </w:pPr>
    </w:p>
    <w:p w14:paraId="06264102" w14:textId="77777777" w:rsidR="002959E9" w:rsidRPr="002959E9" w:rsidRDefault="002959E9" w:rsidP="002959E9">
      <w:pPr>
        <w:numPr>
          <w:ilvl w:val="1"/>
          <w:numId w:val="1"/>
        </w:numPr>
        <w:tabs>
          <w:tab w:val="num" w:pos="1418"/>
        </w:tabs>
        <w:spacing w:after="0" w:line="259" w:lineRule="auto"/>
        <w:ind w:left="0" w:hanging="284"/>
        <w:jc w:val="left"/>
        <w:rPr>
          <w:rFonts w:eastAsia="Calibri" w:cs="Arial"/>
        </w:rPr>
      </w:pPr>
      <w:r w:rsidRPr="002959E9">
        <w:rPr>
          <w:rFonts w:eastAsia="Calibri" w:cs="Arial"/>
        </w:rPr>
        <w:t>Ordonanța Guvernului nr. 2/2000 privind organizarea activității de expertiză tehnică judiciară și extrajudiciară, cu modificările și completările ulterioare.</w:t>
      </w:r>
    </w:p>
    <w:p w14:paraId="0498909E" w14:textId="77777777" w:rsidR="002959E9" w:rsidRPr="002959E9" w:rsidRDefault="002959E9" w:rsidP="002959E9">
      <w:pPr>
        <w:numPr>
          <w:ilvl w:val="1"/>
          <w:numId w:val="1"/>
        </w:numPr>
        <w:tabs>
          <w:tab w:val="num" w:pos="1418"/>
        </w:tabs>
        <w:spacing w:after="0" w:line="259" w:lineRule="auto"/>
        <w:ind w:left="0" w:hanging="284"/>
        <w:jc w:val="left"/>
        <w:rPr>
          <w:rFonts w:eastAsia="Calibri" w:cs="Arial"/>
        </w:rPr>
      </w:pPr>
      <w:r w:rsidRPr="002959E9">
        <w:rPr>
          <w:rFonts w:eastAsia="Calibri" w:cs="Arial"/>
        </w:rPr>
        <w:t>Regulamentul privind desfășurarea examenului şi a interviului pentru atribuirea calităţii de expert tehnic judiciar şi testarea profesională a specialiștilor care efectuează expertize tehnice judiciare, aprobat prin Ordinul ministrului justiției nr. 2059/C/2025.</w:t>
      </w:r>
    </w:p>
    <w:p w14:paraId="6BF0BB49" w14:textId="77777777" w:rsidR="002959E9" w:rsidRPr="002959E9" w:rsidRDefault="002959E9" w:rsidP="002959E9">
      <w:pPr>
        <w:numPr>
          <w:ilvl w:val="1"/>
          <w:numId w:val="1"/>
        </w:numPr>
        <w:tabs>
          <w:tab w:val="num" w:pos="1418"/>
        </w:tabs>
        <w:spacing w:after="0" w:line="259" w:lineRule="auto"/>
        <w:ind w:left="0" w:hanging="284"/>
        <w:jc w:val="left"/>
        <w:rPr>
          <w:rFonts w:eastAsia="Calibri" w:cs="Arial"/>
        </w:rPr>
      </w:pPr>
      <w:r w:rsidRPr="002959E9">
        <w:rPr>
          <w:rFonts w:eastAsia="Calibri" w:cs="Arial"/>
        </w:rPr>
        <w:t>Nomenclatorul specializărilor expertizei tehnice judiciare, aprobat prin Ordinul ministrului justiției nr. 1190/C din 13 iulie 2023.</w:t>
      </w:r>
    </w:p>
    <w:p w14:paraId="0D4DE113" w14:textId="77777777" w:rsidR="002959E9" w:rsidRPr="002959E9" w:rsidRDefault="002959E9" w:rsidP="002959E9">
      <w:pPr>
        <w:numPr>
          <w:ilvl w:val="1"/>
          <w:numId w:val="1"/>
        </w:numPr>
        <w:tabs>
          <w:tab w:val="num" w:pos="1418"/>
        </w:tabs>
        <w:spacing w:after="0" w:line="259" w:lineRule="auto"/>
        <w:ind w:left="0" w:hanging="284"/>
        <w:jc w:val="left"/>
        <w:rPr>
          <w:rFonts w:eastAsia="Calibri" w:cs="Arial"/>
        </w:rPr>
      </w:pPr>
      <w:r w:rsidRPr="002959E9">
        <w:rPr>
          <w:rFonts w:eastAsia="Calibri" w:cs="Arial"/>
        </w:rPr>
        <w:t>Codul de procedură civilă, republicat, cu modificările și completările ulterioare (Legea nr. 134/2010): art. 187 - 191 (Amenzi judiciare și despăgubiri), art. 262, art. 330 – 340 (Expertiza).</w:t>
      </w:r>
    </w:p>
    <w:p w14:paraId="7FC04B9F" w14:textId="77777777" w:rsidR="002959E9" w:rsidRPr="002959E9" w:rsidRDefault="002959E9" w:rsidP="002959E9">
      <w:pPr>
        <w:numPr>
          <w:ilvl w:val="1"/>
          <w:numId w:val="1"/>
        </w:numPr>
        <w:tabs>
          <w:tab w:val="num" w:pos="1418"/>
        </w:tabs>
        <w:spacing w:after="0" w:line="259" w:lineRule="auto"/>
        <w:ind w:left="0" w:hanging="284"/>
        <w:jc w:val="left"/>
        <w:rPr>
          <w:rFonts w:eastAsia="Calibri" w:cs="Arial"/>
        </w:rPr>
      </w:pPr>
      <w:r w:rsidRPr="002959E9">
        <w:rPr>
          <w:rFonts w:eastAsia="Calibri" w:cs="Arial"/>
        </w:rPr>
        <w:t>Codul de procedură penală, cu modificările și completările ulterioare (Legea nr. 135/2010): art. 172 - art. 181</w:t>
      </w:r>
      <w:r w:rsidRPr="002959E9">
        <w:rPr>
          <w:rFonts w:eastAsia="Calibri" w:cs="Arial"/>
          <w:vertAlign w:val="superscript"/>
        </w:rPr>
        <w:t>1</w:t>
      </w:r>
      <w:r w:rsidRPr="002959E9">
        <w:rPr>
          <w:rFonts w:eastAsia="Calibri" w:cs="Arial"/>
        </w:rPr>
        <w:t xml:space="preserve"> (Expertiza și constatarea), art. 283 - 284 (Abateri judiciare).</w:t>
      </w:r>
    </w:p>
    <w:p w14:paraId="766FE9D7" w14:textId="77777777" w:rsidR="00B25430" w:rsidRPr="00872BD8" w:rsidRDefault="00B25430" w:rsidP="00145AED">
      <w:pPr>
        <w:ind w:left="0"/>
        <w:rPr>
          <w:rFonts w:cs="Arial"/>
        </w:rPr>
      </w:pPr>
    </w:p>
    <w:p w14:paraId="3E6ACC26" w14:textId="77777777" w:rsidR="00B25430" w:rsidRPr="00872BD8" w:rsidRDefault="00036FC9" w:rsidP="00145AED">
      <w:pPr>
        <w:numPr>
          <w:ilvl w:val="0"/>
          <w:numId w:val="1"/>
        </w:numPr>
        <w:spacing w:after="0"/>
        <w:ind w:left="0"/>
        <w:rPr>
          <w:rFonts w:cs="Arial"/>
          <w:b/>
        </w:rPr>
      </w:pPr>
      <w:r w:rsidRPr="00872BD8">
        <w:rPr>
          <w:rFonts w:cs="Arial"/>
          <w:b/>
        </w:rPr>
        <w:t>Informații</w:t>
      </w:r>
      <w:r w:rsidR="00B25430" w:rsidRPr="00872BD8">
        <w:rPr>
          <w:rFonts w:cs="Arial"/>
          <w:b/>
        </w:rPr>
        <w:t xml:space="preserve"> suplimentare</w:t>
      </w:r>
    </w:p>
    <w:p w14:paraId="2226AF24" w14:textId="43335723" w:rsidR="00B25430" w:rsidRPr="00872BD8" w:rsidRDefault="00036FC9" w:rsidP="00145AED">
      <w:pPr>
        <w:ind w:left="0"/>
        <w:rPr>
          <w:rFonts w:cs="Arial"/>
        </w:rPr>
      </w:pPr>
      <w:r w:rsidRPr="00872BD8">
        <w:rPr>
          <w:rFonts w:cs="Arial"/>
        </w:rPr>
        <w:t>Informații</w:t>
      </w:r>
      <w:r w:rsidR="00B25430" w:rsidRPr="00872BD8">
        <w:rPr>
          <w:rFonts w:cs="Arial"/>
        </w:rPr>
        <w:t xml:space="preserve"> suplimentare pot fi </w:t>
      </w:r>
      <w:r w:rsidRPr="00872BD8">
        <w:rPr>
          <w:rFonts w:cs="Arial"/>
        </w:rPr>
        <w:t>obținute</w:t>
      </w:r>
      <w:r w:rsidR="00B25430" w:rsidRPr="00872BD8">
        <w:rPr>
          <w:rFonts w:cs="Arial"/>
        </w:rPr>
        <w:t xml:space="preserve"> de la personalul Biroului </w:t>
      </w:r>
      <w:r>
        <w:rPr>
          <w:rFonts w:cs="Arial"/>
        </w:rPr>
        <w:t>l</w:t>
      </w:r>
      <w:r w:rsidR="00B25430" w:rsidRPr="00872BD8">
        <w:rPr>
          <w:rFonts w:cs="Arial"/>
        </w:rPr>
        <w:t xml:space="preserve">ocal pentru </w:t>
      </w:r>
      <w:r>
        <w:rPr>
          <w:rFonts w:cs="Arial"/>
        </w:rPr>
        <w:t>e</w:t>
      </w:r>
      <w:r w:rsidR="00B25430" w:rsidRPr="00872BD8">
        <w:rPr>
          <w:rFonts w:cs="Arial"/>
        </w:rPr>
        <w:t xml:space="preserve">xpertize </w:t>
      </w:r>
      <w:r>
        <w:rPr>
          <w:rFonts w:cs="Arial"/>
        </w:rPr>
        <w:t>j</w:t>
      </w:r>
      <w:r w:rsidR="00B25430" w:rsidRPr="00872BD8">
        <w:rPr>
          <w:rFonts w:cs="Arial"/>
        </w:rPr>
        <w:t xml:space="preserve">udiciare </w:t>
      </w:r>
      <w:r>
        <w:rPr>
          <w:rFonts w:cs="Arial"/>
        </w:rPr>
        <w:t>t</w:t>
      </w:r>
      <w:r w:rsidR="00B25430" w:rsidRPr="00872BD8">
        <w:rPr>
          <w:rFonts w:cs="Arial"/>
        </w:rPr>
        <w:t xml:space="preserve">ehnice </w:t>
      </w:r>
      <w:r w:rsidRPr="00872BD8">
        <w:rPr>
          <w:rFonts w:cs="Arial"/>
        </w:rPr>
        <w:t>și</w:t>
      </w:r>
      <w:r w:rsidR="00B25430" w:rsidRPr="00872BD8">
        <w:rPr>
          <w:rFonts w:cs="Arial"/>
        </w:rPr>
        <w:t xml:space="preserve"> </w:t>
      </w:r>
      <w:r>
        <w:rPr>
          <w:rFonts w:cs="Arial"/>
        </w:rPr>
        <w:t>c</w:t>
      </w:r>
      <w:r w:rsidR="00B25430" w:rsidRPr="00872BD8">
        <w:rPr>
          <w:rFonts w:cs="Arial"/>
        </w:rPr>
        <w:t xml:space="preserve">ontabile din cadrul tribunalului în raza căruia domiciliază </w:t>
      </w:r>
      <w:r w:rsidRPr="00872BD8">
        <w:rPr>
          <w:rFonts w:cs="Arial"/>
        </w:rPr>
        <w:t>candidați</w:t>
      </w:r>
      <w:r w:rsidR="00846966">
        <w:rPr>
          <w:rFonts w:cs="Arial"/>
        </w:rPr>
        <w:t>i</w:t>
      </w:r>
      <w:r w:rsidR="00B25430" w:rsidRPr="00872BD8">
        <w:rPr>
          <w:rFonts w:cs="Arial"/>
        </w:rPr>
        <w:t xml:space="preserve">, precum </w:t>
      </w:r>
      <w:r w:rsidRPr="00872BD8">
        <w:rPr>
          <w:rFonts w:cs="Arial"/>
        </w:rPr>
        <w:t>și</w:t>
      </w:r>
      <w:r w:rsidR="00B25430" w:rsidRPr="00872BD8">
        <w:rPr>
          <w:rFonts w:cs="Arial"/>
        </w:rPr>
        <w:t xml:space="preserve"> de la personalul </w:t>
      </w:r>
      <w:r w:rsidR="00654D19">
        <w:rPr>
          <w:rFonts w:cs="Arial"/>
        </w:rPr>
        <w:t>c</w:t>
      </w:r>
      <w:r w:rsidR="00CF3F5C" w:rsidRPr="00CF3F5C">
        <w:rPr>
          <w:rFonts w:cs="Arial"/>
        </w:rPr>
        <w:t xml:space="preserve">ompartimentului de specialitate din Ministerul </w:t>
      </w:r>
      <w:r w:rsidR="00654D19" w:rsidRPr="00CF3F5C">
        <w:rPr>
          <w:rFonts w:cs="Arial"/>
        </w:rPr>
        <w:t>Justiției</w:t>
      </w:r>
      <w:r w:rsidR="00CF3F5C" w:rsidRPr="00CF3F5C">
        <w:rPr>
          <w:rFonts w:cs="Arial"/>
        </w:rPr>
        <w:t xml:space="preserve"> care </w:t>
      </w:r>
      <w:r w:rsidR="00654D19" w:rsidRPr="00CF3F5C">
        <w:rPr>
          <w:rFonts w:cs="Arial"/>
        </w:rPr>
        <w:t>îndeplinește</w:t>
      </w:r>
      <w:r w:rsidR="00CF3F5C" w:rsidRPr="00CF3F5C">
        <w:rPr>
          <w:rFonts w:cs="Arial"/>
        </w:rPr>
        <w:t xml:space="preserve"> </w:t>
      </w:r>
      <w:r w:rsidR="00654D19" w:rsidRPr="00CF3F5C">
        <w:rPr>
          <w:rFonts w:cs="Arial"/>
        </w:rPr>
        <w:t>atribuțiile</w:t>
      </w:r>
      <w:r w:rsidR="00CF3F5C" w:rsidRPr="00CF3F5C">
        <w:rPr>
          <w:rFonts w:cs="Arial"/>
        </w:rPr>
        <w:t xml:space="preserve"> acestei </w:t>
      </w:r>
      <w:r w:rsidR="00654D19" w:rsidRPr="00CF3F5C">
        <w:rPr>
          <w:rFonts w:cs="Arial"/>
        </w:rPr>
        <w:t>instituții</w:t>
      </w:r>
      <w:r w:rsidR="00CF3F5C" w:rsidRPr="00CF3F5C">
        <w:rPr>
          <w:rFonts w:cs="Arial"/>
        </w:rPr>
        <w:t xml:space="preserve"> privind </w:t>
      </w:r>
      <w:r w:rsidR="00654D19" w:rsidRPr="00CF3F5C">
        <w:rPr>
          <w:rFonts w:cs="Arial"/>
        </w:rPr>
        <w:t>experții</w:t>
      </w:r>
      <w:r w:rsidR="00CF3F5C" w:rsidRPr="00CF3F5C">
        <w:rPr>
          <w:rFonts w:cs="Arial"/>
        </w:rPr>
        <w:t xml:space="preserve"> tehnici judiciari </w:t>
      </w:r>
      <w:r w:rsidR="00B25430" w:rsidRPr="00872BD8">
        <w:rPr>
          <w:rFonts w:cs="Arial"/>
        </w:rPr>
        <w:t>(</w:t>
      </w:r>
      <w:r w:rsidR="00846966">
        <w:rPr>
          <w:rFonts w:cs="Arial"/>
        </w:rPr>
        <w:t xml:space="preserve">telefon: </w:t>
      </w:r>
      <w:r w:rsidR="00A76019">
        <w:rPr>
          <w:rFonts w:cs="Arial"/>
        </w:rPr>
        <w:t xml:space="preserve">037.204.1279, </w:t>
      </w:r>
      <w:r w:rsidR="00B25430" w:rsidRPr="00872BD8">
        <w:rPr>
          <w:rFonts w:cs="Arial"/>
        </w:rPr>
        <w:t>037</w:t>
      </w:r>
      <w:r>
        <w:rPr>
          <w:rFonts w:cs="Arial"/>
        </w:rPr>
        <w:t>.</w:t>
      </w:r>
      <w:r w:rsidR="00B25430" w:rsidRPr="00872BD8">
        <w:rPr>
          <w:rFonts w:cs="Arial"/>
        </w:rPr>
        <w:t>204</w:t>
      </w:r>
      <w:r>
        <w:rPr>
          <w:rFonts w:cs="Arial"/>
        </w:rPr>
        <w:t>.</w:t>
      </w:r>
      <w:r w:rsidR="00B25430" w:rsidRPr="00872BD8">
        <w:rPr>
          <w:rFonts w:cs="Arial"/>
        </w:rPr>
        <w:t>12</w:t>
      </w:r>
      <w:r>
        <w:rPr>
          <w:rFonts w:cs="Arial"/>
        </w:rPr>
        <w:t>8</w:t>
      </w:r>
      <w:r w:rsidR="003F1745">
        <w:rPr>
          <w:rFonts w:cs="Arial"/>
        </w:rPr>
        <w:t>0</w:t>
      </w:r>
      <w:r w:rsidR="00654D19">
        <w:rPr>
          <w:rFonts w:cs="Arial"/>
        </w:rPr>
        <w:t xml:space="preserve"> și 037.204.12</w:t>
      </w:r>
      <w:r w:rsidR="003F1745">
        <w:rPr>
          <w:rFonts w:cs="Arial"/>
        </w:rPr>
        <w:t>83</w:t>
      </w:r>
      <w:r w:rsidR="00B25430" w:rsidRPr="00872BD8">
        <w:rPr>
          <w:rFonts w:cs="Arial"/>
        </w:rPr>
        <w:t>).</w:t>
      </w:r>
    </w:p>
    <w:p w14:paraId="4119A9AE" w14:textId="77777777" w:rsidR="00B25430" w:rsidRPr="00872BD8" w:rsidRDefault="00B25430" w:rsidP="00145AED">
      <w:pPr>
        <w:ind w:left="0"/>
        <w:rPr>
          <w:rFonts w:cs="Arial"/>
        </w:rPr>
      </w:pPr>
    </w:p>
    <w:p w14:paraId="108F5B7F" w14:textId="77777777" w:rsidR="00B25430" w:rsidRPr="00872BD8" w:rsidRDefault="00B25430" w:rsidP="00145AED">
      <w:pPr>
        <w:ind w:left="0"/>
        <w:rPr>
          <w:rFonts w:cs="Arial"/>
          <w:b/>
        </w:rPr>
      </w:pPr>
      <w:r w:rsidRPr="00872BD8">
        <w:rPr>
          <w:rFonts w:cs="Arial"/>
          <w:b/>
          <w:u w:val="single"/>
        </w:rPr>
        <w:t>Notă:</w:t>
      </w:r>
      <w:r w:rsidRPr="00872BD8">
        <w:rPr>
          <w:rFonts w:cs="Arial"/>
          <w:b/>
        </w:rPr>
        <w:t xml:space="preserve"> </w:t>
      </w:r>
    </w:p>
    <w:p w14:paraId="6ECE9BF7" w14:textId="29FB21CB" w:rsidR="003A4667" w:rsidRDefault="000D14B0" w:rsidP="00145AED">
      <w:pPr>
        <w:ind w:left="0"/>
        <w:rPr>
          <w:rFonts w:cs="Arial"/>
        </w:rPr>
      </w:pPr>
      <w:r>
        <w:rPr>
          <w:rFonts w:cs="Arial"/>
        </w:rPr>
        <w:t>1</w:t>
      </w:r>
      <w:r w:rsidR="00B25430" w:rsidRPr="00872BD8">
        <w:rPr>
          <w:rFonts w:cs="Arial"/>
        </w:rPr>
        <w:t xml:space="preserve">. </w:t>
      </w:r>
      <w:r w:rsidRPr="00872BD8">
        <w:rPr>
          <w:rFonts w:cs="Arial"/>
        </w:rPr>
        <w:t>Candidații</w:t>
      </w:r>
      <w:r w:rsidR="00B25430" w:rsidRPr="00872BD8">
        <w:rPr>
          <w:rFonts w:cs="Arial"/>
        </w:rPr>
        <w:t xml:space="preserve"> sunt </w:t>
      </w:r>
      <w:r w:rsidRPr="00872BD8">
        <w:rPr>
          <w:rFonts w:cs="Arial"/>
        </w:rPr>
        <w:t>rugați</w:t>
      </w:r>
      <w:r w:rsidR="00B25430" w:rsidRPr="00872BD8">
        <w:rPr>
          <w:rFonts w:cs="Arial"/>
        </w:rPr>
        <w:t xml:space="preserve"> să acorde </w:t>
      </w:r>
      <w:r w:rsidRPr="00872BD8">
        <w:rPr>
          <w:rFonts w:cs="Arial"/>
        </w:rPr>
        <w:t>atenție</w:t>
      </w:r>
      <w:r w:rsidR="00B25430" w:rsidRPr="00872BD8">
        <w:rPr>
          <w:rFonts w:cs="Arial"/>
        </w:rPr>
        <w:t xml:space="preserve"> sporită </w:t>
      </w:r>
      <w:r w:rsidRPr="00872BD8">
        <w:rPr>
          <w:rFonts w:cs="Arial"/>
        </w:rPr>
        <w:t>dispozițiilor</w:t>
      </w:r>
      <w:r w:rsidR="00B25430" w:rsidRPr="00872BD8">
        <w:rPr>
          <w:rFonts w:cs="Arial"/>
        </w:rPr>
        <w:t xml:space="preserve"> legale privind </w:t>
      </w:r>
      <w:r w:rsidR="00BD4F49">
        <w:rPr>
          <w:rFonts w:cs="Arial"/>
        </w:rPr>
        <w:t>documentele</w:t>
      </w:r>
      <w:r w:rsidR="00B25430" w:rsidRPr="00872BD8">
        <w:rPr>
          <w:rFonts w:cs="Arial"/>
        </w:rPr>
        <w:t xml:space="preserve"> ce trebuie depuse la dosarul de înscriere</w:t>
      </w:r>
      <w:r w:rsidR="003A4667" w:rsidRPr="00BD4F49">
        <w:rPr>
          <w:rFonts w:cs="Arial"/>
        </w:rPr>
        <w:t>.</w:t>
      </w:r>
    </w:p>
    <w:p w14:paraId="7D5A7766" w14:textId="779F16AB" w:rsidR="00B25430" w:rsidRPr="00872BD8" w:rsidRDefault="003A4667" w:rsidP="00145AED">
      <w:pPr>
        <w:ind w:left="0"/>
        <w:rPr>
          <w:rFonts w:cs="Arial"/>
        </w:rPr>
      </w:pPr>
      <w:r>
        <w:rPr>
          <w:rFonts w:cs="Arial"/>
        </w:rPr>
        <w:t xml:space="preserve">2. </w:t>
      </w:r>
      <w:r w:rsidR="00B25430" w:rsidRPr="00872BD8">
        <w:rPr>
          <w:rFonts w:cs="Arial"/>
        </w:rPr>
        <w:t xml:space="preserve">Bibliografia este orientativă </w:t>
      </w:r>
      <w:r w:rsidR="000D14B0" w:rsidRPr="00872BD8">
        <w:rPr>
          <w:rFonts w:cs="Arial"/>
        </w:rPr>
        <w:t>și</w:t>
      </w:r>
      <w:r w:rsidR="00B25430" w:rsidRPr="00872BD8">
        <w:rPr>
          <w:rFonts w:cs="Arial"/>
        </w:rPr>
        <w:t xml:space="preserve"> minimală, putând fi consultate </w:t>
      </w:r>
      <w:r w:rsidR="000D14B0" w:rsidRPr="00872BD8">
        <w:rPr>
          <w:rFonts w:cs="Arial"/>
        </w:rPr>
        <w:t>și</w:t>
      </w:r>
      <w:r w:rsidR="00B25430" w:rsidRPr="00872BD8">
        <w:rPr>
          <w:rFonts w:cs="Arial"/>
        </w:rPr>
        <w:t xml:space="preserve"> alte acte normative sau lucrări de specialitate din domeniu. Lucrările de specialitate sau orice altă </w:t>
      </w:r>
      <w:r w:rsidR="000D14B0" w:rsidRPr="00872BD8">
        <w:rPr>
          <w:rFonts w:cs="Arial"/>
        </w:rPr>
        <w:t>documentație</w:t>
      </w:r>
      <w:r w:rsidR="00B25430" w:rsidRPr="00872BD8">
        <w:rPr>
          <w:rFonts w:cs="Arial"/>
        </w:rPr>
        <w:t xml:space="preserve">, consultate în vederea prezentării la examinare, se vor actualiza în raport cu modificările legislative intervenite până la data publicării </w:t>
      </w:r>
      <w:r w:rsidR="000D14B0" w:rsidRPr="00872BD8">
        <w:rPr>
          <w:rFonts w:cs="Arial"/>
        </w:rPr>
        <w:t>anunțului</w:t>
      </w:r>
      <w:r w:rsidR="00B25430" w:rsidRPr="00872BD8">
        <w:rPr>
          <w:rFonts w:cs="Arial"/>
        </w:rPr>
        <w:t xml:space="preserve"> privind organizarea </w:t>
      </w:r>
      <w:r w:rsidR="00C42798">
        <w:rPr>
          <w:rFonts w:cs="Arial"/>
        </w:rPr>
        <w:t>examenului</w:t>
      </w:r>
      <w:r w:rsidR="00B25430" w:rsidRPr="00872BD8">
        <w:rPr>
          <w:rFonts w:cs="Arial"/>
        </w:rPr>
        <w:t>.</w:t>
      </w:r>
    </w:p>
    <w:p w14:paraId="26776554" w14:textId="28BB7458" w:rsidR="00B25430" w:rsidRPr="00872BD8" w:rsidRDefault="00850818" w:rsidP="00145AED">
      <w:pPr>
        <w:ind w:left="0"/>
        <w:rPr>
          <w:rFonts w:cs="Arial"/>
        </w:rPr>
      </w:pPr>
      <w:r>
        <w:rPr>
          <w:rFonts w:cs="Arial"/>
        </w:rPr>
        <w:t>3</w:t>
      </w:r>
      <w:r w:rsidR="00B25430" w:rsidRPr="00872BD8">
        <w:rPr>
          <w:rFonts w:cs="Arial"/>
        </w:rPr>
        <w:t xml:space="preserve">. </w:t>
      </w:r>
      <w:r w:rsidR="00B25430" w:rsidRPr="00AE7140">
        <w:rPr>
          <w:rFonts w:cs="Arial"/>
          <w:b/>
        </w:rPr>
        <w:t xml:space="preserve">Datele privind </w:t>
      </w:r>
      <w:r w:rsidR="00136A41" w:rsidRPr="00AE7140">
        <w:rPr>
          <w:rFonts w:cs="Arial"/>
          <w:b/>
        </w:rPr>
        <w:t>locația</w:t>
      </w:r>
      <w:r w:rsidR="00B25430" w:rsidRPr="00AE7140">
        <w:rPr>
          <w:rFonts w:cs="Arial"/>
          <w:b/>
        </w:rPr>
        <w:t xml:space="preserve"> exactă a </w:t>
      </w:r>
      <w:r w:rsidR="00136A41" w:rsidRPr="00AE7140">
        <w:rPr>
          <w:rFonts w:cs="Arial"/>
          <w:b/>
        </w:rPr>
        <w:t>susținerii</w:t>
      </w:r>
      <w:r w:rsidR="00B25430" w:rsidRPr="00AE7140">
        <w:rPr>
          <w:rFonts w:cs="Arial"/>
          <w:b/>
        </w:rPr>
        <w:t xml:space="preserve"> </w:t>
      </w:r>
      <w:r w:rsidR="003127F2" w:rsidRPr="00AE7140">
        <w:rPr>
          <w:rFonts w:cs="Arial"/>
          <w:b/>
        </w:rPr>
        <w:t>examenului</w:t>
      </w:r>
      <w:r w:rsidR="00B25430" w:rsidRPr="00AE7140">
        <w:rPr>
          <w:rFonts w:cs="Arial"/>
          <w:b/>
        </w:rPr>
        <w:t xml:space="preserve"> </w:t>
      </w:r>
      <w:r w:rsidR="00136A41" w:rsidRPr="00AE7140">
        <w:rPr>
          <w:rFonts w:cs="Arial"/>
          <w:b/>
        </w:rPr>
        <w:t>și</w:t>
      </w:r>
      <w:r w:rsidR="00B25430" w:rsidRPr="00AE7140">
        <w:rPr>
          <w:rFonts w:cs="Arial"/>
          <w:b/>
        </w:rPr>
        <w:t xml:space="preserve"> repartizarea </w:t>
      </w:r>
      <w:r w:rsidR="00136A41" w:rsidRPr="00AE7140">
        <w:rPr>
          <w:rFonts w:cs="Arial"/>
          <w:b/>
        </w:rPr>
        <w:t>candidaților</w:t>
      </w:r>
      <w:r w:rsidR="00B25430" w:rsidRPr="00AE7140">
        <w:rPr>
          <w:rFonts w:cs="Arial"/>
          <w:b/>
        </w:rPr>
        <w:t xml:space="preserve"> vor fi făcute publice în timp util.</w:t>
      </w:r>
      <w:r w:rsidR="00B25430" w:rsidRPr="00872BD8">
        <w:rPr>
          <w:rFonts w:cs="Arial"/>
        </w:rPr>
        <w:t xml:space="preserve"> </w:t>
      </w:r>
    </w:p>
    <w:p w14:paraId="4D770ED9" w14:textId="35CD032E" w:rsidR="00B25430" w:rsidRPr="00872BD8" w:rsidRDefault="00850818" w:rsidP="00145AED">
      <w:pPr>
        <w:ind w:left="0"/>
        <w:rPr>
          <w:rFonts w:cs="Arial"/>
          <w:i/>
        </w:rPr>
      </w:pPr>
      <w:r>
        <w:rPr>
          <w:rFonts w:cs="Arial"/>
        </w:rPr>
        <w:t>4</w:t>
      </w:r>
      <w:r w:rsidR="00B25430" w:rsidRPr="00872BD8">
        <w:rPr>
          <w:rFonts w:cs="Arial"/>
        </w:rPr>
        <w:t xml:space="preserve">. </w:t>
      </w:r>
      <w:r w:rsidR="00B25430" w:rsidRPr="00872BD8">
        <w:rPr>
          <w:rFonts w:cs="Arial"/>
          <w:i/>
          <w:u w:val="single"/>
        </w:rPr>
        <w:t>În document</w:t>
      </w:r>
      <w:r w:rsidR="00C128EF">
        <w:rPr>
          <w:rFonts w:cs="Arial"/>
          <w:i/>
          <w:u w:val="single"/>
        </w:rPr>
        <w:t>ul</w:t>
      </w:r>
      <w:r w:rsidR="00B25430" w:rsidRPr="00872BD8">
        <w:rPr>
          <w:rFonts w:cs="Arial"/>
          <w:i/>
          <w:u w:val="single"/>
        </w:rPr>
        <w:t xml:space="preserve"> de plată</w:t>
      </w:r>
      <w:r w:rsidR="00262279">
        <w:rPr>
          <w:rFonts w:cs="Arial"/>
          <w:i/>
          <w:u w:val="single"/>
        </w:rPr>
        <w:t xml:space="preserve"> a taxei de înscriere,</w:t>
      </w:r>
      <w:r w:rsidR="00B25430" w:rsidRPr="00872BD8">
        <w:rPr>
          <w:rFonts w:cs="Arial"/>
          <w:i/>
          <w:u w:val="single"/>
        </w:rPr>
        <w:t xml:space="preserve"> trebuie înscris numărul contului în care se face plata, astfel cum este acesta indicat în </w:t>
      </w:r>
      <w:r w:rsidR="00136A41" w:rsidRPr="00872BD8">
        <w:rPr>
          <w:rFonts w:cs="Arial"/>
          <w:i/>
          <w:u w:val="single"/>
        </w:rPr>
        <w:t>anunț</w:t>
      </w:r>
      <w:r w:rsidR="00B25430" w:rsidRPr="00872BD8">
        <w:rPr>
          <w:rFonts w:cs="Arial"/>
          <w:i/>
          <w:u w:val="single"/>
        </w:rPr>
        <w:t>. Neînscrierea numărului contului</w:t>
      </w:r>
      <w:r w:rsidR="00262279">
        <w:rPr>
          <w:rFonts w:cs="Arial"/>
          <w:i/>
          <w:u w:val="single"/>
        </w:rPr>
        <w:t xml:space="preserve"> sau</w:t>
      </w:r>
      <w:r w:rsidR="00B25430" w:rsidRPr="00872BD8">
        <w:rPr>
          <w:rFonts w:cs="Arial"/>
          <w:i/>
          <w:u w:val="single"/>
        </w:rPr>
        <w:t xml:space="preserve"> înscrierea sa eronată</w:t>
      </w:r>
      <w:r w:rsidR="00262279">
        <w:rPr>
          <w:rFonts w:cs="Arial"/>
          <w:i/>
          <w:u w:val="single"/>
        </w:rPr>
        <w:t xml:space="preserve"> </w:t>
      </w:r>
      <w:r w:rsidR="00B25430" w:rsidRPr="00872BD8">
        <w:rPr>
          <w:rFonts w:cs="Arial"/>
          <w:i/>
          <w:u w:val="single"/>
        </w:rPr>
        <w:t>v</w:t>
      </w:r>
      <w:r w:rsidR="00262279">
        <w:rPr>
          <w:rFonts w:cs="Arial"/>
          <w:i/>
          <w:u w:val="single"/>
        </w:rPr>
        <w:t>a</w:t>
      </w:r>
      <w:r w:rsidR="00B25430" w:rsidRPr="00872BD8">
        <w:rPr>
          <w:rFonts w:cs="Arial"/>
          <w:i/>
          <w:u w:val="single"/>
        </w:rPr>
        <w:t xml:space="preserve"> fi considerat</w:t>
      </w:r>
      <w:r w:rsidR="00262279">
        <w:rPr>
          <w:rFonts w:cs="Arial"/>
          <w:i/>
          <w:u w:val="single"/>
        </w:rPr>
        <w:t>ă</w:t>
      </w:r>
      <w:r w:rsidR="00B25430" w:rsidRPr="00872BD8">
        <w:rPr>
          <w:rFonts w:cs="Arial"/>
          <w:i/>
          <w:u w:val="single"/>
        </w:rPr>
        <w:t xml:space="preserve"> neîndeplinirea </w:t>
      </w:r>
      <w:r w:rsidR="00136A41" w:rsidRPr="00872BD8">
        <w:rPr>
          <w:rFonts w:cs="Arial"/>
          <w:i/>
          <w:u w:val="single"/>
        </w:rPr>
        <w:t>condiției</w:t>
      </w:r>
      <w:r w:rsidR="00B25430" w:rsidRPr="00872BD8">
        <w:rPr>
          <w:rFonts w:cs="Arial"/>
          <w:i/>
          <w:u w:val="single"/>
        </w:rPr>
        <w:t xml:space="preserve"> de plată a taxei de înscriere.</w:t>
      </w:r>
      <w:r w:rsidR="00D83A58">
        <w:rPr>
          <w:rFonts w:cs="Arial"/>
          <w:i/>
          <w:u w:val="single"/>
        </w:rPr>
        <w:t xml:space="preserve"> </w:t>
      </w:r>
    </w:p>
    <w:p w14:paraId="6B8171AC" w14:textId="2C13FBEA" w:rsidR="00B25430" w:rsidRPr="00872BD8" w:rsidRDefault="00850818" w:rsidP="00145AED">
      <w:pPr>
        <w:ind w:left="0"/>
        <w:rPr>
          <w:rFonts w:cs="Arial"/>
        </w:rPr>
      </w:pPr>
      <w:r>
        <w:rPr>
          <w:rFonts w:cs="Arial"/>
        </w:rPr>
        <w:t>5</w:t>
      </w:r>
      <w:r w:rsidR="00B25430" w:rsidRPr="00872BD8">
        <w:rPr>
          <w:rFonts w:cs="Arial"/>
        </w:rPr>
        <w:t xml:space="preserve">. Taxa de înscriere nu se restituie. </w:t>
      </w:r>
    </w:p>
    <w:p w14:paraId="5FF2C154" w14:textId="02533E50" w:rsidR="00B25430" w:rsidRPr="00872BD8" w:rsidRDefault="00850818" w:rsidP="00145AED">
      <w:pPr>
        <w:ind w:left="0"/>
        <w:rPr>
          <w:rFonts w:cs="Arial"/>
        </w:rPr>
      </w:pPr>
      <w:r>
        <w:rPr>
          <w:rFonts w:cs="Arial"/>
        </w:rPr>
        <w:t>6</w:t>
      </w:r>
      <w:r w:rsidR="00B25430" w:rsidRPr="00872BD8">
        <w:rPr>
          <w:rFonts w:cs="Arial"/>
        </w:rPr>
        <w:t>. Dosarul de înscriere sau acte din acesta nu se restituie. Nu se eliberează copii din dosar.</w:t>
      </w:r>
    </w:p>
    <w:p w14:paraId="48B81A97" w14:textId="0BBF27DC" w:rsidR="00ED5E20" w:rsidRPr="00ED5E20" w:rsidRDefault="00850818" w:rsidP="00ED5E20">
      <w:pPr>
        <w:ind w:left="0"/>
        <w:rPr>
          <w:rFonts w:cs="Arial"/>
        </w:rPr>
      </w:pPr>
      <w:r>
        <w:rPr>
          <w:rFonts w:cs="Arial"/>
        </w:rPr>
        <w:t>7</w:t>
      </w:r>
      <w:r w:rsidR="00ED5E20">
        <w:rPr>
          <w:rFonts w:cs="Arial"/>
        </w:rPr>
        <w:t xml:space="preserve">. </w:t>
      </w:r>
      <w:r w:rsidR="00E33157">
        <w:rPr>
          <w:rFonts w:cs="Arial"/>
        </w:rPr>
        <w:t>Orice aspecte de ordin organizatoric vor fi comunicate candidaților</w:t>
      </w:r>
      <w:r w:rsidR="00ED5E20" w:rsidRPr="00ED5E20">
        <w:rPr>
          <w:rFonts w:cs="Arial"/>
        </w:rPr>
        <w:t xml:space="preserve"> în timp util.</w:t>
      </w:r>
    </w:p>
    <w:sectPr w:rsidR="00ED5E20" w:rsidRPr="00ED5E20" w:rsidSect="005848A2">
      <w:headerReference w:type="default" r:id="rId11"/>
      <w:footerReference w:type="default" r:id="rId12"/>
      <w:headerReference w:type="first" r:id="rId13"/>
      <w:footerReference w:type="first" r:id="rId14"/>
      <w:pgSz w:w="11900" w:h="16840" w:code="9"/>
      <w:pgMar w:top="1418" w:right="567" w:bottom="1418" w:left="2268" w:header="567" w:footer="3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84592" w14:textId="77777777" w:rsidR="006D38C8" w:rsidRDefault="006D38C8" w:rsidP="00CD5B3B">
      <w:r>
        <w:separator/>
      </w:r>
    </w:p>
  </w:endnote>
  <w:endnote w:type="continuationSeparator" w:id="0">
    <w:p w14:paraId="4AFFFCD4" w14:textId="77777777" w:rsidR="006D38C8" w:rsidRDefault="006D38C8"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15" w:type="dxa"/>
      <w:tblInd w:w="-1701" w:type="dxa"/>
      <w:tblLook w:val="04A0" w:firstRow="1" w:lastRow="0" w:firstColumn="1" w:lastColumn="0" w:noHBand="0" w:noVBand="1"/>
    </w:tblPr>
    <w:tblGrid>
      <w:gridCol w:w="1566"/>
      <w:gridCol w:w="5986"/>
      <w:gridCol w:w="3363"/>
    </w:tblGrid>
    <w:tr w:rsidR="000D14B0" w:rsidRPr="002A12E9" w14:paraId="1D2C58E8" w14:textId="77777777" w:rsidTr="000D14B0">
      <w:tc>
        <w:tcPr>
          <w:tcW w:w="1566" w:type="dxa"/>
        </w:tcPr>
        <w:p w14:paraId="2F30DCA7" w14:textId="0057C4B9" w:rsidR="000D14B0" w:rsidRPr="002719B1" w:rsidRDefault="000D14B0" w:rsidP="002719B1">
          <w:pPr>
            <w:ind w:left="33"/>
          </w:pPr>
        </w:p>
      </w:tc>
      <w:tc>
        <w:tcPr>
          <w:tcW w:w="5986" w:type="dxa"/>
          <w:tcBorders>
            <w:left w:val="nil"/>
          </w:tcBorders>
        </w:tcPr>
        <w:p w14:paraId="008DBA9A" w14:textId="02C19791" w:rsidR="000D14B0" w:rsidRPr="00036CF6" w:rsidRDefault="000D14B0" w:rsidP="00CC37ED">
          <w:pPr>
            <w:tabs>
              <w:tab w:val="center" w:pos="4536"/>
              <w:tab w:val="right" w:pos="9072"/>
            </w:tabs>
            <w:spacing w:after="0" w:line="240" w:lineRule="auto"/>
            <w:ind w:left="0"/>
            <w:jc w:val="left"/>
            <w:rPr>
              <w:sz w:val="14"/>
              <w:szCs w:val="14"/>
            </w:rPr>
          </w:pPr>
          <w:r w:rsidRPr="00036CF6">
            <w:rPr>
              <w:sz w:val="14"/>
              <w:szCs w:val="14"/>
            </w:rPr>
            <w:t xml:space="preserve">Str. Apolodor nr. 17, sector 5, 050741 </w:t>
          </w:r>
          <w:r w:rsidR="00A76019" w:rsidRPr="00036CF6">
            <w:rPr>
              <w:sz w:val="14"/>
              <w:szCs w:val="14"/>
            </w:rPr>
            <w:t>București</w:t>
          </w:r>
          <w:r w:rsidRPr="00036CF6">
            <w:rPr>
              <w:sz w:val="14"/>
              <w:szCs w:val="14"/>
            </w:rPr>
            <w:t>, România</w:t>
          </w:r>
        </w:p>
        <w:p w14:paraId="583C67CE" w14:textId="77777777" w:rsidR="000D14B0" w:rsidRPr="00036CF6" w:rsidRDefault="000D14B0" w:rsidP="00CC37ED">
          <w:pPr>
            <w:tabs>
              <w:tab w:val="center" w:pos="4320"/>
              <w:tab w:val="right" w:pos="8640"/>
            </w:tabs>
            <w:spacing w:after="0"/>
            <w:ind w:left="0"/>
            <w:rPr>
              <w:sz w:val="14"/>
              <w:szCs w:val="14"/>
            </w:rPr>
          </w:pPr>
          <w:r w:rsidRPr="00036CF6">
            <w:rPr>
              <w:sz w:val="14"/>
              <w:szCs w:val="14"/>
            </w:rPr>
            <w:t>Tel. +4 037 204 1999</w:t>
          </w:r>
        </w:p>
        <w:p w14:paraId="20673D14" w14:textId="77777777" w:rsidR="000D14B0" w:rsidRPr="00036CF6" w:rsidRDefault="006D38C8" w:rsidP="00CC37ED">
          <w:pPr>
            <w:tabs>
              <w:tab w:val="center" w:pos="4320"/>
              <w:tab w:val="right" w:pos="8640"/>
            </w:tabs>
            <w:spacing w:after="0"/>
            <w:ind w:left="0"/>
            <w:rPr>
              <w:sz w:val="14"/>
              <w:szCs w:val="14"/>
            </w:rPr>
          </w:pPr>
          <w:hyperlink r:id="rId1" w:history="1">
            <w:r w:rsidR="000D14B0" w:rsidRPr="00036CF6">
              <w:rPr>
                <w:color w:val="0000FF" w:themeColor="hyperlink"/>
                <w:sz w:val="14"/>
                <w:szCs w:val="14"/>
                <w:u w:val="single"/>
              </w:rPr>
              <w:t>www.just.ro</w:t>
            </w:r>
          </w:hyperlink>
        </w:p>
        <w:p w14:paraId="339EF525" w14:textId="77777777" w:rsidR="000D14B0" w:rsidRPr="00036CF6" w:rsidRDefault="000D14B0" w:rsidP="00CC37ED">
          <w:pPr>
            <w:tabs>
              <w:tab w:val="center" w:pos="4536"/>
              <w:tab w:val="right" w:pos="9072"/>
            </w:tabs>
            <w:spacing w:after="0" w:line="240" w:lineRule="auto"/>
            <w:ind w:left="0"/>
            <w:jc w:val="left"/>
            <w:rPr>
              <w:rFonts w:ascii="Arial" w:eastAsia="Times New Roman" w:hAnsi="Arial" w:cs="Arial"/>
              <w:b/>
              <w:color w:val="003366"/>
              <w:sz w:val="16"/>
              <w:szCs w:val="16"/>
              <w:lang w:eastAsia="ro-RO"/>
            </w:rPr>
          </w:pPr>
        </w:p>
      </w:tc>
      <w:tc>
        <w:tcPr>
          <w:tcW w:w="3363" w:type="dxa"/>
        </w:tcPr>
        <w:p w14:paraId="742F4DDA" w14:textId="1C5D1A9E" w:rsidR="000D14B0" w:rsidRPr="00452DF6" w:rsidRDefault="000D14B0" w:rsidP="00CC37ED">
          <w:pPr>
            <w:tabs>
              <w:tab w:val="center" w:pos="4536"/>
              <w:tab w:val="right" w:pos="9072"/>
            </w:tabs>
            <w:spacing w:after="0" w:line="240" w:lineRule="auto"/>
            <w:ind w:left="0"/>
            <w:jc w:val="right"/>
            <w:rPr>
              <w:sz w:val="14"/>
              <w:szCs w:val="14"/>
              <w:lang w:val="es-ES"/>
            </w:rPr>
          </w:pPr>
          <w:proofErr w:type="spellStart"/>
          <w:r w:rsidRPr="00452DF6">
            <w:rPr>
              <w:sz w:val="14"/>
              <w:szCs w:val="14"/>
              <w:lang w:val="es-ES"/>
            </w:rPr>
            <w:t>Pagina</w:t>
          </w:r>
          <w:proofErr w:type="spellEnd"/>
          <w:r w:rsidRPr="00452DF6">
            <w:rPr>
              <w:sz w:val="14"/>
              <w:szCs w:val="14"/>
              <w:lang w:val="es-ES"/>
            </w:rPr>
            <w:t xml:space="preserve"> </w:t>
          </w:r>
          <w:r w:rsidRPr="00036CF6">
            <w:rPr>
              <w:sz w:val="14"/>
              <w:szCs w:val="14"/>
            </w:rPr>
            <w:fldChar w:fldCharType="begin"/>
          </w:r>
          <w:r w:rsidRPr="00452DF6">
            <w:rPr>
              <w:sz w:val="14"/>
              <w:szCs w:val="14"/>
              <w:lang w:val="es-ES"/>
            </w:rPr>
            <w:instrText xml:space="preserve"> PAGE </w:instrText>
          </w:r>
          <w:r w:rsidRPr="00036CF6">
            <w:rPr>
              <w:sz w:val="14"/>
              <w:szCs w:val="14"/>
            </w:rPr>
            <w:fldChar w:fldCharType="separate"/>
          </w:r>
          <w:r w:rsidR="009654F8">
            <w:rPr>
              <w:noProof/>
              <w:sz w:val="14"/>
              <w:szCs w:val="14"/>
              <w:lang w:val="es-ES"/>
            </w:rPr>
            <w:t>5</w:t>
          </w:r>
          <w:r w:rsidRPr="00036CF6">
            <w:rPr>
              <w:sz w:val="14"/>
              <w:szCs w:val="14"/>
            </w:rPr>
            <w:fldChar w:fldCharType="end"/>
          </w:r>
          <w:r w:rsidRPr="00452DF6">
            <w:rPr>
              <w:sz w:val="14"/>
              <w:szCs w:val="14"/>
              <w:lang w:val="es-ES"/>
            </w:rPr>
            <w:t xml:space="preserve"> din </w:t>
          </w:r>
          <w:r w:rsidRPr="00036CF6">
            <w:rPr>
              <w:sz w:val="14"/>
              <w:szCs w:val="14"/>
            </w:rPr>
            <w:fldChar w:fldCharType="begin"/>
          </w:r>
          <w:r w:rsidRPr="00452DF6">
            <w:rPr>
              <w:sz w:val="14"/>
              <w:szCs w:val="14"/>
              <w:lang w:val="es-ES"/>
            </w:rPr>
            <w:instrText xml:space="preserve"> SECTIONPAGES   \* MERGEFORMAT </w:instrText>
          </w:r>
          <w:r w:rsidRPr="00036CF6">
            <w:rPr>
              <w:sz w:val="14"/>
              <w:szCs w:val="14"/>
            </w:rPr>
            <w:fldChar w:fldCharType="separate"/>
          </w:r>
          <w:r w:rsidR="00C52072">
            <w:rPr>
              <w:noProof/>
              <w:sz w:val="14"/>
              <w:szCs w:val="14"/>
              <w:lang w:val="es-ES"/>
            </w:rPr>
            <w:t>8</w:t>
          </w:r>
          <w:r w:rsidRPr="00036CF6">
            <w:rPr>
              <w:sz w:val="14"/>
              <w:szCs w:val="14"/>
            </w:rPr>
            <w:fldChar w:fldCharType="end"/>
          </w:r>
        </w:p>
        <w:p w14:paraId="55CA93FD" w14:textId="77777777" w:rsidR="000D14B0" w:rsidRPr="00452DF6" w:rsidRDefault="000D14B0" w:rsidP="00CC37ED">
          <w:pPr>
            <w:tabs>
              <w:tab w:val="center" w:pos="4536"/>
              <w:tab w:val="right" w:pos="9072"/>
            </w:tabs>
            <w:spacing w:after="0" w:line="240" w:lineRule="auto"/>
            <w:ind w:left="0"/>
            <w:jc w:val="right"/>
            <w:rPr>
              <w:sz w:val="14"/>
              <w:szCs w:val="14"/>
              <w:lang w:val="es-ES"/>
            </w:rPr>
          </w:pPr>
        </w:p>
        <w:p w14:paraId="579C2B0C" w14:textId="77777777" w:rsidR="000D14B0" w:rsidRPr="00036CF6" w:rsidRDefault="000D14B0" w:rsidP="00CC37ED">
          <w:pPr>
            <w:tabs>
              <w:tab w:val="center" w:pos="4536"/>
              <w:tab w:val="right" w:pos="9072"/>
            </w:tabs>
            <w:spacing w:after="0" w:line="240" w:lineRule="auto"/>
            <w:ind w:left="0"/>
            <w:jc w:val="right"/>
            <w:rPr>
              <w:rFonts w:ascii="Arial" w:eastAsia="Times New Roman" w:hAnsi="Arial" w:cs="Arial"/>
              <w:b/>
              <w:sz w:val="16"/>
              <w:szCs w:val="16"/>
              <w:lang w:eastAsia="ro-RO"/>
            </w:rPr>
          </w:pPr>
          <w:r w:rsidRPr="00B25430">
            <w:rPr>
              <w:sz w:val="14"/>
              <w:szCs w:val="14"/>
              <w:lang w:val="es-ES"/>
            </w:rPr>
            <w:t>COD: FP-03-07-ver.3</w:t>
          </w:r>
        </w:p>
      </w:tc>
    </w:tr>
  </w:tbl>
  <w:p w14:paraId="495B8530" w14:textId="77777777" w:rsidR="000D14B0" w:rsidRPr="00CC37ED" w:rsidRDefault="000D14B0">
    <w:pPr>
      <w:pStyle w:val="Footer"/>
      <w:rPr>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15" w:type="dxa"/>
      <w:tblInd w:w="-1701" w:type="dxa"/>
      <w:tblLook w:val="04A0" w:firstRow="1" w:lastRow="0" w:firstColumn="1" w:lastColumn="0" w:noHBand="0" w:noVBand="1"/>
    </w:tblPr>
    <w:tblGrid>
      <w:gridCol w:w="1566"/>
      <w:gridCol w:w="5986"/>
      <w:gridCol w:w="3363"/>
    </w:tblGrid>
    <w:tr w:rsidR="000D14B0" w:rsidRPr="002A12E9" w14:paraId="43985CC8" w14:textId="77777777" w:rsidTr="002653E8">
      <w:tc>
        <w:tcPr>
          <w:tcW w:w="1566" w:type="dxa"/>
        </w:tcPr>
        <w:p w14:paraId="3EE2359D" w14:textId="4CEC77B1" w:rsidR="000D14B0" w:rsidRPr="002719B1" w:rsidRDefault="000D14B0" w:rsidP="002719B1">
          <w:pPr>
            <w:ind w:left="33"/>
          </w:pPr>
        </w:p>
      </w:tc>
      <w:tc>
        <w:tcPr>
          <w:tcW w:w="5986" w:type="dxa"/>
          <w:tcBorders>
            <w:left w:val="nil"/>
          </w:tcBorders>
        </w:tcPr>
        <w:p w14:paraId="072FA2DA" w14:textId="77777777" w:rsidR="000D14B0" w:rsidRPr="00036CF6" w:rsidRDefault="000D14B0" w:rsidP="00036CF6">
          <w:pPr>
            <w:tabs>
              <w:tab w:val="center" w:pos="4536"/>
              <w:tab w:val="right" w:pos="9072"/>
            </w:tabs>
            <w:spacing w:after="0" w:line="240" w:lineRule="auto"/>
            <w:ind w:left="0"/>
            <w:jc w:val="left"/>
            <w:rPr>
              <w:sz w:val="14"/>
              <w:szCs w:val="14"/>
            </w:rPr>
          </w:pPr>
          <w:r w:rsidRPr="00036CF6">
            <w:rPr>
              <w:sz w:val="14"/>
              <w:szCs w:val="14"/>
            </w:rPr>
            <w:t>Str. Apolodor nr. 17, sector 5, 050741 Bucureşti, România</w:t>
          </w:r>
        </w:p>
        <w:p w14:paraId="49873E5E" w14:textId="77777777" w:rsidR="000D14B0" w:rsidRPr="00036CF6" w:rsidRDefault="000D14B0" w:rsidP="00036CF6">
          <w:pPr>
            <w:tabs>
              <w:tab w:val="center" w:pos="4320"/>
              <w:tab w:val="right" w:pos="8640"/>
            </w:tabs>
            <w:spacing w:after="0"/>
            <w:ind w:left="0"/>
            <w:rPr>
              <w:sz w:val="14"/>
              <w:szCs w:val="14"/>
            </w:rPr>
          </w:pPr>
          <w:r w:rsidRPr="00036CF6">
            <w:rPr>
              <w:sz w:val="14"/>
              <w:szCs w:val="14"/>
            </w:rPr>
            <w:t>Tel. +4 037 204 1999</w:t>
          </w:r>
        </w:p>
        <w:p w14:paraId="64706653" w14:textId="77777777" w:rsidR="000D14B0" w:rsidRPr="00036CF6" w:rsidRDefault="006D38C8" w:rsidP="00036CF6">
          <w:pPr>
            <w:tabs>
              <w:tab w:val="center" w:pos="4320"/>
              <w:tab w:val="right" w:pos="8640"/>
            </w:tabs>
            <w:spacing w:after="0"/>
            <w:ind w:left="0"/>
            <w:rPr>
              <w:sz w:val="14"/>
              <w:szCs w:val="14"/>
            </w:rPr>
          </w:pPr>
          <w:hyperlink r:id="rId1" w:history="1">
            <w:r w:rsidR="000D14B0" w:rsidRPr="00036CF6">
              <w:rPr>
                <w:color w:val="0000FF" w:themeColor="hyperlink"/>
                <w:sz w:val="14"/>
                <w:szCs w:val="14"/>
                <w:u w:val="single"/>
              </w:rPr>
              <w:t>www.just.ro</w:t>
            </w:r>
          </w:hyperlink>
        </w:p>
        <w:p w14:paraId="4712779C" w14:textId="77777777" w:rsidR="000D14B0" w:rsidRPr="00036CF6" w:rsidRDefault="000D14B0" w:rsidP="00036CF6">
          <w:pPr>
            <w:tabs>
              <w:tab w:val="center" w:pos="4536"/>
              <w:tab w:val="right" w:pos="9072"/>
            </w:tabs>
            <w:spacing w:after="0" w:line="240" w:lineRule="auto"/>
            <w:ind w:left="0"/>
            <w:jc w:val="left"/>
            <w:rPr>
              <w:rFonts w:ascii="Arial" w:eastAsia="Times New Roman" w:hAnsi="Arial" w:cs="Arial"/>
              <w:b/>
              <w:color w:val="003366"/>
              <w:sz w:val="16"/>
              <w:szCs w:val="16"/>
              <w:lang w:eastAsia="ro-RO"/>
            </w:rPr>
          </w:pPr>
        </w:p>
      </w:tc>
      <w:tc>
        <w:tcPr>
          <w:tcW w:w="3363" w:type="dxa"/>
        </w:tcPr>
        <w:p w14:paraId="2A83865F" w14:textId="22991FC7" w:rsidR="000D14B0" w:rsidRPr="00452DF6" w:rsidRDefault="000D14B0" w:rsidP="00036CF6">
          <w:pPr>
            <w:tabs>
              <w:tab w:val="center" w:pos="4536"/>
              <w:tab w:val="right" w:pos="9072"/>
            </w:tabs>
            <w:spacing w:after="0" w:line="240" w:lineRule="auto"/>
            <w:ind w:left="0"/>
            <w:jc w:val="right"/>
            <w:rPr>
              <w:sz w:val="14"/>
              <w:szCs w:val="14"/>
              <w:lang w:val="es-ES"/>
            </w:rPr>
          </w:pPr>
          <w:proofErr w:type="spellStart"/>
          <w:r w:rsidRPr="00452DF6">
            <w:rPr>
              <w:sz w:val="14"/>
              <w:szCs w:val="14"/>
              <w:lang w:val="es-ES"/>
            </w:rPr>
            <w:t>Pagina</w:t>
          </w:r>
          <w:proofErr w:type="spellEnd"/>
          <w:r w:rsidRPr="00452DF6">
            <w:rPr>
              <w:sz w:val="14"/>
              <w:szCs w:val="14"/>
              <w:lang w:val="es-ES"/>
            </w:rPr>
            <w:t xml:space="preserve"> </w:t>
          </w:r>
          <w:r w:rsidRPr="00036CF6">
            <w:rPr>
              <w:sz w:val="14"/>
              <w:szCs w:val="14"/>
            </w:rPr>
            <w:fldChar w:fldCharType="begin"/>
          </w:r>
          <w:r w:rsidRPr="00452DF6">
            <w:rPr>
              <w:sz w:val="14"/>
              <w:szCs w:val="14"/>
              <w:lang w:val="es-ES"/>
            </w:rPr>
            <w:instrText xml:space="preserve"> PAGE </w:instrText>
          </w:r>
          <w:r w:rsidRPr="00036CF6">
            <w:rPr>
              <w:sz w:val="14"/>
              <w:szCs w:val="14"/>
            </w:rPr>
            <w:fldChar w:fldCharType="separate"/>
          </w:r>
          <w:r w:rsidR="009654F8">
            <w:rPr>
              <w:noProof/>
              <w:sz w:val="14"/>
              <w:szCs w:val="14"/>
              <w:lang w:val="es-ES"/>
            </w:rPr>
            <w:t>1</w:t>
          </w:r>
          <w:r w:rsidRPr="00036CF6">
            <w:rPr>
              <w:sz w:val="14"/>
              <w:szCs w:val="14"/>
            </w:rPr>
            <w:fldChar w:fldCharType="end"/>
          </w:r>
          <w:r w:rsidRPr="00452DF6">
            <w:rPr>
              <w:sz w:val="14"/>
              <w:szCs w:val="14"/>
              <w:lang w:val="es-ES"/>
            </w:rPr>
            <w:t xml:space="preserve"> din </w:t>
          </w:r>
          <w:r w:rsidRPr="00036CF6">
            <w:rPr>
              <w:sz w:val="14"/>
              <w:szCs w:val="14"/>
            </w:rPr>
            <w:fldChar w:fldCharType="begin"/>
          </w:r>
          <w:r w:rsidRPr="00452DF6">
            <w:rPr>
              <w:sz w:val="14"/>
              <w:szCs w:val="14"/>
              <w:lang w:val="es-ES"/>
            </w:rPr>
            <w:instrText xml:space="preserve"> SECTIONPAGES   \* MERGEFORMAT </w:instrText>
          </w:r>
          <w:r w:rsidRPr="00036CF6">
            <w:rPr>
              <w:sz w:val="14"/>
              <w:szCs w:val="14"/>
            </w:rPr>
            <w:fldChar w:fldCharType="separate"/>
          </w:r>
          <w:r w:rsidR="00C52072">
            <w:rPr>
              <w:noProof/>
              <w:sz w:val="14"/>
              <w:szCs w:val="14"/>
              <w:lang w:val="es-ES"/>
            </w:rPr>
            <w:t>8</w:t>
          </w:r>
          <w:r w:rsidRPr="00036CF6">
            <w:rPr>
              <w:sz w:val="14"/>
              <w:szCs w:val="14"/>
            </w:rPr>
            <w:fldChar w:fldCharType="end"/>
          </w:r>
        </w:p>
        <w:p w14:paraId="12C6B72B" w14:textId="77777777" w:rsidR="000D14B0" w:rsidRPr="00452DF6" w:rsidRDefault="000D14B0" w:rsidP="00036CF6">
          <w:pPr>
            <w:tabs>
              <w:tab w:val="center" w:pos="4536"/>
              <w:tab w:val="right" w:pos="9072"/>
            </w:tabs>
            <w:spacing w:after="0" w:line="240" w:lineRule="auto"/>
            <w:ind w:left="0"/>
            <w:jc w:val="right"/>
            <w:rPr>
              <w:sz w:val="14"/>
              <w:szCs w:val="14"/>
              <w:lang w:val="es-ES"/>
            </w:rPr>
          </w:pPr>
        </w:p>
        <w:p w14:paraId="6C6D9920" w14:textId="77777777" w:rsidR="000D14B0" w:rsidRPr="00036CF6" w:rsidRDefault="000D14B0" w:rsidP="00871FC1">
          <w:pPr>
            <w:tabs>
              <w:tab w:val="center" w:pos="4536"/>
              <w:tab w:val="right" w:pos="9072"/>
            </w:tabs>
            <w:spacing w:after="0" w:line="240" w:lineRule="auto"/>
            <w:ind w:left="0"/>
            <w:jc w:val="right"/>
            <w:rPr>
              <w:rFonts w:ascii="Arial" w:eastAsia="Times New Roman" w:hAnsi="Arial" w:cs="Arial"/>
              <w:b/>
              <w:sz w:val="16"/>
              <w:szCs w:val="16"/>
              <w:lang w:eastAsia="ro-RO"/>
            </w:rPr>
          </w:pPr>
          <w:r w:rsidRPr="00A871AA">
            <w:rPr>
              <w:sz w:val="14"/>
              <w:szCs w:val="14"/>
              <w:lang w:val="es-ES"/>
            </w:rPr>
            <w:t>COD: FP-03-07-ver.3</w:t>
          </w:r>
        </w:p>
      </w:tc>
    </w:tr>
  </w:tbl>
  <w:p w14:paraId="472C3DBF" w14:textId="77777777" w:rsidR="000D14B0" w:rsidRPr="005848A2" w:rsidRDefault="000D14B0" w:rsidP="0064218B">
    <w:pPr>
      <w:ind w:left="0"/>
      <w:rPr>
        <w:sz w:val="2"/>
        <w:szCs w:val="2"/>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03258" w14:textId="77777777" w:rsidR="006D38C8" w:rsidRDefault="006D38C8" w:rsidP="00E06A2C">
      <w:pPr>
        <w:spacing w:after="0"/>
        <w:ind w:left="0"/>
      </w:pPr>
      <w:r>
        <w:separator/>
      </w:r>
    </w:p>
  </w:footnote>
  <w:footnote w:type="continuationSeparator" w:id="0">
    <w:p w14:paraId="79404F97" w14:textId="77777777" w:rsidR="006D38C8" w:rsidRDefault="006D38C8" w:rsidP="00E06A2C">
      <w:pPr>
        <w:ind w:left="0"/>
      </w:pPr>
      <w:r>
        <w:continuationSeparator/>
      </w:r>
    </w:p>
  </w:footnote>
  <w:footnote w:type="continuationNotice" w:id="1">
    <w:p w14:paraId="5E7E435E" w14:textId="77777777" w:rsidR="006D38C8" w:rsidRDefault="006D38C8" w:rsidP="00E06A2C">
      <w:pPr>
        <w:spacing w:after="0" w:line="240" w:lineRule="auto"/>
        <w:ind w:left="0"/>
      </w:pPr>
    </w:p>
  </w:footnote>
  <w:footnote w:id="2">
    <w:p w14:paraId="3F707368" w14:textId="4C4F50A5" w:rsidR="00241270" w:rsidRDefault="00241270">
      <w:pPr>
        <w:pStyle w:val="FootnoteText"/>
      </w:pPr>
      <w:r>
        <w:rPr>
          <w:rStyle w:val="FootnoteReference"/>
        </w:rPr>
        <w:footnoteRef/>
      </w:r>
      <w:r>
        <w:t xml:space="preserve"> </w:t>
      </w:r>
      <w:r w:rsidRPr="00241270">
        <w:t>Registrul General de Evidență a Salariaților.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25E4F" w14:textId="77777777" w:rsidR="000D14B0" w:rsidRDefault="000D14B0" w:rsidP="008A4458">
    <w:pPr>
      <w:pStyle w:val="Header"/>
      <w:ind w:left="0"/>
    </w:pPr>
  </w:p>
  <w:p w14:paraId="20B8BE44" w14:textId="77777777" w:rsidR="000D14B0" w:rsidRPr="00CD5B3B" w:rsidRDefault="000D14B0" w:rsidP="008A4458">
    <w:pPr>
      <w:pStyle w:val="Header"/>
      <w:ind w:left="0"/>
    </w:pPr>
    <w:r>
      <w:rPr>
        <w:noProof/>
        <w:lang w:eastAsia="ro-RO"/>
      </w:rPr>
      <w:drawing>
        <wp:inline distT="0" distB="0" distL="0" distR="0" wp14:anchorId="208F8A0E" wp14:editId="3DB003B1">
          <wp:extent cx="1959610" cy="201930"/>
          <wp:effectExtent l="0" t="0" r="2540" b="7620"/>
          <wp:docPr id="9" name="Picture 31" descr="D:\Profiles\Viorel.Streza\Desktop\template min 4 radu\logo_antet\logo_antet_MJ_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rofiles\Viorel.Streza\Desktop\template min 4 radu\logo_antet\logo_antet_MJ_p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9610" cy="20193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9D2EC" w14:textId="77777777" w:rsidR="000D14B0" w:rsidRDefault="000D14B0" w:rsidP="006F1264">
    <w:pPr>
      <w:pStyle w:val="Header"/>
      <w:tabs>
        <w:tab w:val="clear" w:pos="4320"/>
        <w:tab w:val="clear" w:pos="8640"/>
      </w:tabs>
      <w:ind w:left="-1701" w:right="-7"/>
      <w:rPr>
        <w:noProof/>
        <w:lang w:eastAsia="ro-RO"/>
      </w:rPr>
    </w:pPr>
    <w:r>
      <w:rPr>
        <w:noProof/>
        <w:lang w:eastAsia="ro-RO"/>
      </w:rPr>
      <w:drawing>
        <wp:inline distT="0" distB="0" distL="0" distR="0" wp14:anchorId="22F903C0" wp14:editId="4611B384">
          <wp:extent cx="2816860" cy="902335"/>
          <wp:effectExtent l="0" t="0" r="2540" b="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6860" cy="902335"/>
                  </a:xfrm>
                  <a:prstGeom prst="rect">
                    <a:avLst/>
                  </a:prstGeom>
                  <a:noFill/>
                </pic:spPr>
              </pic:pic>
            </a:graphicData>
          </a:graphic>
        </wp:inline>
      </w:drawing>
    </w:r>
    <w:r>
      <w:rPr>
        <w:noProof/>
        <w:lang w:eastAsia="ro-R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77EC4"/>
    <w:multiLevelType w:val="hybridMultilevel"/>
    <w:tmpl w:val="CE0E8772"/>
    <w:lvl w:ilvl="0" w:tplc="AA120BB2">
      <w:start w:val="1"/>
      <w:numFmt w:val="decimal"/>
      <w:lvlText w:val="%1."/>
      <w:lvlJc w:val="left"/>
      <w:pPr>
        <w:ind w:left="862" w:hanging="360"/>
      </w:pPr>
      <w:rPr>
        <w:b/>
      </w:rPr>
    </w:lvl>
    <w:lvl w:ilvl="1" w:tplc="04180019" w:tentative="1">
      <w:start w:val="1"/>
      <w:numFmt w:val="lowerLetter"/>
      <w:lvlText w:val="%2."/>
      <w:lvlJc w:val="left"/>
      <w:pPr>
        <w:ind w:left="1582" w:hanging="360"/>
      </w:pPr>
    </w:lvl>
    <w:lvl w:ilvl="2" w:tplc="0418001B" w:tentative="1">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1" w15:restartNumberingAfterBreak="0">
    <w:nsid w:val="475B1ECD"/>
    <w:multiLevelType w:val="hybridMultilevel"/>
    <w:tmpl w:val="BFDE274E"/>
    <w:lvl w:ilvl="0" w:tplc="83CCCB1E">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568C7A18"/>
    <w:multiLevelType w:val="hybridMultilevel"/>
    <w:tmpl w:val="F5C07E50"/>
    <w:lvl w:ilvl="0" w:tplc="0418000F">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570E03E0"/>
    <w:multiLevelType w:val="hybridMultilevel"/>
    <w:tmpl w:val="A03836FA"/>
    <w:lvl w:ilvl="0" w:tplc="44C0D86E">
      <w:start w:val="1"/>
      <w:numFmt w:val="decimal"/>
      <w:lvlText w:val="%1."/>
      <w:lvlJc w:val="left"/>
      <w:pPr>
        <w:tabs>
          <w:tab w:val="num" w:pos="1211"/>
        </w:tabs>
        <w:ind w:left="1211" w:hanging="360"/>
      </w:pPr>
      <w:rPr>
        <w:rFonts w:hint="default"/>
      </w:rPr>
    </w:lvl>
    <w:lvl w:ilvl="1" w:tplc="861E8C7E">
      <w:start w:val="1"/>
      <w:numFmt w:val="decimal"/>
      <w:lvlText w:val="%2."/>
      <w:lvlJc w:val="left"/>
      <w:pPr>
        <w:tabs>
          <w:tab w:val="num" w:pos="1931"/>
        </w:tabs>
        <w:ind w:left="1931" w:hanging="360"/>
      </w:pPr>
      <w:rPr>
        <w:rFonts w:hint="default"/>
      </w:rPr>
    </w:lvl>
    <w:lvl w:ilvl="2" w:tplc="F56A7CD6">
      <w:start w:val="1"/>
      <w:numFmt w:val="lowerLetter"/>
      <w:lvlText w:val="%3)"/>
      <w:lvlJc w:val="right"/>
      <w:pPr>
        <w:tabs>
          <w:tab w:val="num" w:pos="2651"/>
        </w:tabs>
        <w:ind w:left="2651" w:hanging="180"/>
      </w:pPr>
      <w:rPr>
        <w:rFonts w:ascii="Arial" w:eastAsia="Times New Roman" w:hAnsi="Arial" w:cs="Arial" w:hint="default"/>
      </w:rPr>
    </w:lvl>
    <w:lvl w:ilvl="3" w:tplc="0418000F" w:tentative="1">
      <w:start w:val="1"/>
      <w:numFmt w:val="decimal"/>
      <w:lvlText w:val="%4."/>
      <w:lvlJc w:val="left"/>
      <w:pPr>
        <w:tabs>
          <w:tab w:val="num" w:pos="3371"/>
        </w:tabs>
        <w:ind w:left="3371" w:hanging="360"/>
      </w:pPr>
    </w:lvl>
    <w:lvl w:ilvl="4" w:tplc="04180019" w:tentative="1">
      <w:start w:val="1"/>
      <w:numFmt w:val="lowerLetter"/>
      <w:lvlText w:val="%5."/>
      <w:lvlJc w:val="left"/>
      <w:pPr>
        <w:tabs>
          <w:tab w:val="num" w:pos="4091"/>
        </w:tabs>
        <w:ind w:left="4091" w:hanging="360"/>
      </w:pPr>
    </w:lvl>
    <w:lvl w:ilvl="5" w:tplc="0418001B" w:tentative="1">
      <w:start w:val="1"/>
      <w:numFmt w:val="lowerRoman"/>
      <w:lvlText w:val="%6."/>
      <w:lvlJc w:val="right"/>
      <w:pPr>
        <w:tabs>
          <w:tab w:val="num" w:pos="4811"/>
        </w:tabs>
        <w:ind w:left="4811" w:hanging="180"/>
      </w:pPr>
    </w:lvl>
    <w:lvl w:ilvl="6" w:tplc="0418000F" w:tentative="1">
      <w:start w:val="1"/>
      <w:numFmt w:val="decimal"/>
      <w:lvlText w:val="%7."/>
      <w:lvlJc w:val="left"/>
      <w:pPr>
        <w:tabs>
          <w:tab w:val="num" w:pos="5531"/>
        </w:tabs>
        <w:ind w:left="5531" w:hanging="360"/>
      </w:pPr>
    </w:lvl>
    <w:lvl w:ilvl="7" w:tplc="04180019" w:tentative="1">
      <w:start w:val="1"/>
      <w:numFmt w:val="lowerLetter"/>
      <w:lvlText w:val="%8."/>
      <w:lvlJc w:val="left"/>
      <w:pPr>
        <w:tabs>
          <w:tab w:val="num" w:pos="6251"/>
        </w:tabs>
        <w:ind w:left="6251" w:hanging="360"/>
      </w:pPr>
    </w:lvl>
    <w:lvl w:ilvl="8" w:tplc="0418001B" w:tentative="1">
      <w:start w:val="1"/>
      <w:numFmt w:val="lowerRoman"/>
      <w:lvlText w:val="%9."/>
      <w:lvlJc w:val="right"/>
      <w:pPr>
        <w:tabs>
          <w:tab w:val="num" w:pos="6971"/>
        </w:tabs>
        <w:ind w:left="6971" w:hanging="180"/>
      </w:pPr>
    </w:lvl>
  </w:abstractNum>
  <w:abstractNum w:abstractNumId="4" w15:restartNumberingAfterBreak="0">
    <w:nsid w:val="5B1048B0"/>
    <w:multiLevelType w:val="hybridMultilevel"/>
    <w:tmpl w:val="3138BF9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63556E35"/>
    <w:multiLevelType w:val="hybridMultilevel"/>
    <w:tmpl w:val="8200D4DE"/>
    <w:lvl w:ilvl="0" w:tplc="2FF8884E">
      <w:start w:val="1"/>
      <w:numFmt w:val="decimal"/>
      <w:lvlText w:val="%1."/>
      <w:lvlJc w:val="left"/>
      <w:pPr>
        <w:ind w:left="2061" w:hanging="360"/>
      </w:pPr>
      <w:rPr>
        <w:rFonts w:hint="default"/>
      </w:rPr>
    </w:lvl>
    <w:lvl w:ilvl="1" w:tplc="04180019" w:tentative="1">
      <w:start w:val="1"/>
      <w:numFmt w:val="lowerLetter"/>
      <w:lvlText w:val="%2."/>
      <w:lvlJc w:val="left"/>
      <w:pPr>
        <w:ind w:left="2781" w:hanging="360"/>
      </w:pPr>
    </w:lvl>
    <w:lvl w:ilvl="2" w:tplc="0418001B" w:tentative="1">
      <w:start w:val="1"/>
      <w:numFmt w:val="lowerRoman"/>
      <w:lvlText w:val="%3."/>
      <w:lvlJc w:val="right"/>
      <w:pPr>
        <w:ind w:left="3501" w:hanging="180"/>
      </w:pPr>
    </w:lvl>
    <w:lvl w:ilvl="3" w:tplc="0418000F" w:tentative="1">
      <w:start w:val="1"/>
      <w:numFmt w:val="decimal"/>
      <w:lvlText w:val="%4."/>
      <w:lvlJc w:val="left"/>
      <w:pPr>
        <w:ind w:left="4221" w:hanging="360"/>
      </w:pPr>
    </w:lvl>
    <w:lvl w:ilvl="4" w:tplc="04180019" w:tentative="1">
      <w:start w:val="1"/>
      <w:numFmt w:val="lowerLetter"/>
      <w:lvlText w:val="%5."/>
      <w:lvlJc w:val="left"/>
      <w:pPr>
        <w:ind w:left="4941" w:hanging="360"/>
      </w:pPr>
    </w:lvl>
    <w:lvl w:ilvl="5" w:tplc="0418001B" w:tentative="1">
      <w:start w:val="1"/>
      <w:numFmt w:val="lowerRoman"/>
      <w:lvlText w:val="%6."/>
      <w:lvlJc w:val="right"/>
      <w:pPr>
        <w:ind w:left="5661" w:hanging="180"/>
      </w:pPr>
    </w:lvl>
    <w:lvl w:ilvl="6" w:tplc="0418000F" w:tentative="1">
      <w:start w:val="1"/>
      <w:numFmt w:val="decimal"/>
      <w:lvlText w:val="%7."/>
      <w:lvlJc w:val="left"/>
      <w:pPr>
        <w:ind w:left="6381" w:hanging="360"/>
      </w:pPr>
    </w:lvl>
    <w:lvl w:ilvl="7" w:tplc="04180019" w:tentative="1">
      <w:start w:val="1"/>
      <w:numFmt w:val="lowerLetter"/>
      <w:lvlText w:val="%8."/>
      <w:lvlJc w:val="left"/>
      <w:pPr>
        <w:ind w:left="7101" w:hanging="360"/>
      </w:pPr>
    </w:lvl>
    <w:lvl w:ilvl="8" w:tplc="0418001B" w:tentative="1">
      <w:start w:val="1"/>
      <w:numFmt w:val="lowerRoman"/>
      <w:lvlText w:val="%9."/>
      <w:lvlJc w:val="right"/>
      <w:pPr>
        <w:ind w:left="7821"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2C"/>
    <w:rsid w:val="000020C4"/>
    <w:rsid w:val="00013CE7"/>
    <w:rsid w:val="00023330"/>
    <w:rsid w:val="00023335"/>
    <w:rsid w:val="00031C13"/>
    <w:rsid w:val="00032720"/>
    <w:rsid w:val="00036CF6"/>
    <w:rsid w:val="00036FC9"/>
    <w:rsid w:val="00041EA1"/>
    <w:rsid w:val="0005004D"/>
    <w:rsid w:val="00050433"/>
    <w:rsid w:val="00052857"/>
    <w:rsid w:val="000653A1"/>
    <w:rsid w:val="00070D7C"/>
    <w:rsid w:val="0007159E"/>
    <w:rsid w:val="0007761F"/>
    <w:rsid w:val="00077D19"/>
    <w:rsid w:val="00090224"/>
    <w:rsid w:val="00092F52"/>
    <w:rsid w:val="00097FFE"/>
    <w:rsid w:val="000A06C2"/>
    <w:rsid w:val="000B5F93"/>
    <w:rsid w:val="000B7998"/>
    <w:rsid w:val="000C3760"/>
    <w:rsid w:val="000C459B"/>
    <w:rsid w:val="000C579C"/>
    <w:rsid w:val="000C7B33"/>
    <w:rsid w:val="000D14B0"/>
    <w:rsid w:val="000D5518"/>
    <w:rsid w:val="000E5E43"/>
    <w:rsid w:val="000F52D3"/>
    <w:rsid w:val="000F6A19"/>
    <w:rsid w:val="000F74D3"/>
    <w:rsid w:val="00100F36"/>
    <w:rsid w:val="00101A43"/>
    <w:rsid w:val="00101E48"/>
    <w:rsid w:val="00112BAC"/>
    <w:rsid w:val="00113A8B"/>
    <w:rsid w:val="001213CB"/>
    <w:rsid w:val="00124F27"/>
    <w:rsid w:val="001262B0"/>
    <w:rsid w:val="001313F2"/>
    <w:rsid w:val="001316D0"/>
    <w:rsid w:val="00132F4B"/>
    <w:rsid w:val="00136A41"/>
    <w:rsid w:val="00142770"/>
    <w:rsid w:val="00144E2E"/>
    <w:rsid w:val="00145AED"/>
    <w:rsid w:val="00155807"/>
    <w:rsid w:val="00161275"/>
    <w:rsid w:val="00165A0E"/>
    <w:rsid w:val="0017178A"/>
    <w:rsid w:val="00183F11"/>
    <w:rsid w:val="00190172"/>
    <w:rsid w:val="00192805"/>
    <w:rsid w:val="00196B5D"/>
    <w:rsid w:val="001A344F"/>
    <w:rsid w:val="001A67F0"/>
    <w:rsid w:val="001C1E38"/>
    <w:rsid w:val="001C1EC1"/>
    <w:rsid w:val="001C5FDB"/>
    <w:rsid w:val="001F2A22"/>
    <w:rsid w:val="00205CAE"/>
    <w:rsid w:val="00207FEE"/>
    <w:rsid w:val="00212A34"/>
    <w:rsid w:val="0021473B"/>
    <w:rsid w:val="00216DDD"/>
    <w:rsid w:val="00227FB9"/>
    <w:rsid w:val="00232BE4"/>
    <w:rsid w:val="0023440A"/>
    <w:rsid w:val="00235F4F"/>
    <w:rsid w:val="00241270"/>
    <w:rsid w:val="00252D58"/>
    <w:rsid w:val="002553C9"/>
    <w:rsid w:val="00262279"/>
    <w:rsid w:val="002653E8"/>
    <w:rsid w:val="002719B1"/>
    <w:rsid w:val="002719DC"/>
    <w:rsid w:val="0027467C"/>
    <w:rsid w:val="00284A30"/>
    <w:rsid w:val="002959E9"/>
    <w:rsid w:val="002A12E9"/>
    <w:rsid w:val="002A5742"/>
    <w:rsid w:val="002A5882"/>
    <w:rsid w:val="002B09F5"/>
    <w:rsid w:val="002B0AF2"/>
    <w:rsid w:val="002B2D08"/>
    <w:rsid w:val="002C12C7"/>
    <w:rsid w:val="002C31E1"/>
    <w:rsid w:val="002C400C"/>
    <w:rsid w:val="002C5E09"/>
    <w:rsid w:val="002E0C74"/>
    <w:rsid w:val="002E2A83"/>
    <w:rsid w:val="002F06FD"/>
    <w:rsid w:val="002F120C"/>
    <w:rsid w:val="002F76F8"/>
    <w:rsid w:val="00303949"/>
    <w:rsid w:val="00304593"/>
    <w:rsid w:val="00304D05"/>
    <w:rsid w:val="003127F2"/>
    <w:rsid w:val="00312E32"/>
    <w:rsid w:val="003142E0"/>
    <w:rsid w:val="00317136"/>
    <w:rsid w:val="0032422C"/>
    <w:rsid w:val="00325BB9"/>
    <w:rsid w:val="00327FF6"/>
    <w:rsid w:val="00331E8F"/>
    <w:rsid w:val="00331F48"/>
    <w:rsid w:val="003406E1"/>
    <w:rsid w:val="003669FF"/>
    <w:rsid w:val="00391BE1"/>
    <w:rsid w:val="003A289D"/>
    <w:rsid w:val="003A4667"/>
    <w:rsid w:val="003C150D"/>
    <w:rsid w:val="003C28B9"/>
    <w:rsid w:val="003C5578"/>
    <w:rsid w:val="003C5DC1"/>
    <w:rsid w:val="003C6BE9"/>
    <w:rsid w:val="003D2C48"/>
    <w:rsid w:val="003D56E6"/>
    <w:rsid w:val="003E4678"/>
    <w:rsid w:val="003F0018"/>
    <w:rsid w:val="003F1471"/>
    <w:rsid w:val="003F1745"/>
    <w:rsid w:val="00405B2D"/>
    <w:rsid w:val="004073A9"/>
    <w:rsid w:val="00415190"/>
    <w:rsid w:val="00415DD4"/>
    <w:rsid w:val="00422C11"/>
    <w:rsid w:val="004278D2"/>
    <w:rsid w:val="00431A57"/>
    <w:rsid w:val="00435717"/>
    <w:rsid w:val="00437D1B"/>
    <w:rsid w:val="00440ACE"/>
    <w:rsid w:val="00451B89"/>
    <w:rsid w:val="00452DF6"/>
    <w:rsid w:val="004548D2"/>
    <w:rsid w:val="004561D4"/>
    <w:rsid w:val="004608DF"/>
    <w:rsid w:val="00460949"/>
    <w:rsid w:val="00462299"/>
    <w:rsid w:val="004641E3"/>
    <w:rsid w:val="004671E1"/>
    <w:rsid w:val="00474F80"/>
    <w:rsid w:val="004806B5"/>
    <w:rsid w:val="004914E8"/>
    <w:rsid w:val="00493AD5"/>
    <w:rsid w:val="00495B47"/>
    <w:rsid w:val="004A4A94"/>
    <w:rsid w:val="004A6849"/>
    <w:rsid w:val="004A6EEE"/>
    <w:rsid w:val="004A6F59"/>
    <w:rsid w:val="004A7A9C"/>
    <w:rsid w:val="004B34CB"/>
    <w:rsid w:val="004C1753"/>
    <w:rsid w:val="004D233B"/>
    <w:rsid w:val="004D646F"/>
    <w:rsid w:val="004D7E66"/>
    <w:rsid w:val="004E0449"/>
    <w:rsid w:val="004E59EF"/>
    <w:rsid w:val="004E5D45"/>
    <w:rsid w:val="004F094D"/>
    <w:rsid w:val="004F5782"/>
    <w:rsid w:val="0050071C"/>
    <w:rsid w:val="005021F2"/>
    <w:rsid w:val="0052089E"/>
    <w:rsid w:val="00523C70"/>
    <w:rsid w:val="00540E49"/>
    <w:rsid w:val="005412A5"/>
    <w:rsid w:val="00543045"/>
    <w:rsid w:val="00547D31"/>
    <w:rsid w:val="005623DA"/>
    <w:rsid w:val="00563569"/>
    <w:rsid w:val="00564ADC"/>
    <w:rsid w:val="0057293B"/>
    <w:rsid w:val="00573164"/>
    <w:rsid w:val="0057756F"/>
    <w:rsid w:val="005804BC"/>
    <w:rsid w:val="00583CCD"/>
    <w:rsid w:val="005848A2"/>
    <w:rsid w:val="00590AB2"/>
    <w:rsid w:val="0059793D"/>
    <w:rsid w:val="005A3789"/>
    <w:rsid w:val="005A4888"/>
    <w:rsid w:val="005A540E"/>
    <w:rsid w:val="005A5EC9"/>
    <w:rsid w:val="005A77B8"/>
    <w:rsid w:val="005B2E5C"/>
    <w:rsid w:val="005C0248"/>
    <w:rsid w:val="005D6616"/>
    <w:rsid w:val="005D795E"/>
    <w:rsid w:val="005E0D6F"/>
    <w:rsid w:val="005E2E1A"/>
    <w:rsid w:val="005E44BC"/>
    <w:rsid w:val="005E6FFA"/>
    <w:rsid w:val="005E7CA2"/>
    <w:rsid w:val="005F4327"/>
    <w:rsid w:val="00604D6A"/>
    <w:rsid w:val="00604DD4"/>
    <w:rsid w:val="006059E8"/>
    <w:rsid w:val="00607429"/>
    <w:rsid w:val="00611634"/>
    <w:rsid w:val="00611A73"/>
    <w:rsid w:val="00637CCE"/>
    <w:rsid w:val="0064218B"/>
    <w:rsid w:val="006423B4"/>
    <w:rsid w:val="00642712"/>
    <w:rsid w:val="006514B7"/>
    <w:rsid w:val="00653FC5"/>
    <w:rsid w:val="00654588"/>
    <w:rsid w:val="00654D19"/>
    <w:rsid w:val="00662077"/>
    <w:rsid w:val="0066468A"/>
    <w:rsid w:val="006665AD"/>
    <w:rsid w:val="00670610"/>
    <w:rsid w:val="006753A3"/>
    <w:rsid w:val="006765B3"/>
    <w:rsid w:val="00677BE4"/>
    <w:rsid w:val="00677FEB"/>
    <w:rsid w:val="006954FF"/>
    <w:rsid w:val="006A018E"/>
    <w:rsid w:val="006A263E"/>
    <w:rsid w:val="006A51DB"/>
    <w:rsid w:val="006B528B"/>
    <w:rsid w:val="006B65D2"/>
    <w:rsid w:val="006B7298"/>
    <w:rsid w:val="006C26FF"/>
    <w:rsid w:val="006C395C"/>
    <w:rsid w:val="006C4728"/>
    <w:rsid w:val="006C6D8C"/>
    <w:rsid w:val="006D2DB3"/>
    <w:rsid w:val="006D38C8"/>
    <w:rsid w:val="006F1264"/>
    <w:rsid w:val="006F6183"/>
    <w:rsid w:val="007018D5"/>
    <w:rsid w:val="00714CFF"/>
    <w:rsid w:val="00722BEC"/>
    <w:rsid w:val="00725F2C"/>
    <w:rsid w:val="00731B1A"/>
    <w:rsid w:val="00732445"/>
    <w:rsid w:val="00742649"/>
    <w:rsid w:val="00743D2D"/>
    <w:rsid w:val="00760EDB"/>
    <w:rsid w:val="007643AB"/>
    <w:rsid w:val="00766E0E"/>
    <w:rsid w:val="00773272"/>
    <w:rsid w:val="00783581"/>
    <w:rsid w:val="00783677"/>
    <w:rsid w:val="007871B8"/>
    <w:rsid w:val="00793638"/>
    <w:rsid w:val="00796728"/>
    <w:rsid w:val="007B625E"/>
    <w:rsid w:val="007C1B2E"/>
    <w:rsid w:val="007C590C"/>
    <w:rsid w:val="007D3B57"/>
    <w:rsid w:val="00821F19"/>
    <w:rsid w:val="0082217B"/>
    <w:rsid w:val="008226C2"/>
    <w:rsid w:val="008231E2"/>
    <w:rsid w:val="00835599"/>
    <w:rsid w:val="0084080F"/>
    <w:rsid w:val="00840F14"/>
    <w:rsid w:val="008410D8"/>
    <w:rsid w:val="00845BB1"/>
    <w:rsid w:val="00846966"/>
    <w:rsid w:val="00850818"/>
    <w:rsid w:val="00851955"/>
    <w:rsid w:val="00861DE2"/>
    <w:rsid w:val="00871DA8"/>
    <w:rsid w:val="00871FC1"/>
    <w:rsid w:val="00872BD8"/>
    <w:rsid w:val="00874E88"/>
    <w:rsid w:val="00884450"/>
    <w:rsid w:val="00885479"/>
    <w:rsid w:val="00887579"/>
    <w:rsid w:val="008912B6"/>
    <w:rsid w:val="0089166C"/>
    <w:rsid w:val="00894F9C"/>
    <w:rsid w:val="008A2AC0"/>
    <w:rsid w:val="008A4458"/>
    <w:rsid w:val="008A539C"/>
    <w:rsid w:val="008B63B2"/>
    <w:rsid w:val="008B75F3"/>
    <w:rsid w:val="008C7105"/>
    <w:rsid w:val="008D27C1"/>
    <w:rsid w:val="008E09D0"/>
    <w:rsid w:val="008E2A51"/>
    <w:rsid w:val="008E4757"/>
    <w:rsid w:val="008F5088"/>
    <w:rsid w:val="009032C4"/>
    <w:rsid w:val="00905461"/>
    <w:rsid w:val="00911EDC"/>
    <w:rsid w:val="00912484"/>
    <w:rsid w:val="00914730"/>
    <w:rsid w:val="00915096"/>
    <w:rsid w:val="009220AB"/>
    <w:rsid w:val="00925D90"/>
    <w:rsid w:val="00927141"/>
    <w:rsid w:val="00927F0B"/>
    <w:rsid w:val="0093015F"/>
    <w:rsid w:val="00936115"/>
    <w:rsid w:val="00936F90"/>
    <w:rsid w:val="00943757"/>
    <w:rsid w:val="0094530E"/>
    <w:rsid w:val="009654F8"/>
    <w:rsid w:val="009736AF"/>
    <w:rsid w:val="00980A33"/>
    <w:rsid w:val="00981EE8"/>
    <w:rsid w:val="00985FEF"/>
    <w:rsid w:val="00987A29"/>
    <w:rsid w:val="009B1813"/>
    <w:rsid w:val="009B26D0"/>
    <w:rsid w:val="009B4F4C"/>
    <w:rsid w:val="009B6FF6"/>
    <w:rsid w:val="009E6E0D"/>
    <w:rsid w:val="009E7609"/>
    <w:rsid w:val="009E7CAC"/>
    <w:rsid w:val="009F7FDF"/>
    <w:rsid w:val="00A00893"/>
    <w:rsid w:val="00A029B3"/>
    <w:rsid w:val="00A045B7"/>
    <w:rsid w:val="00A06076"/>
    <w:rsid w:val="00A06C19"/>
    <w:rsid w:val="00A13890"/>
    <w:rsid w:val="00A16A26"/>
    <w:rsid w:val="00A21436"/>
    <w:rsid w:val="00A223E9"/>
    <w:rsid w:val="00A271A3"/>
    <w:rsid w:val="00A31FFB"/>
    <w:rsid w:val="00A50E46"/>
    <w:rsid w:val="00A5589B"/>
    <w:rsid w:val="00A57D2F"/>
    <w:rsid w:val="00A600D4"/>
    <w:rsid w:val="00A62D47"/>
    <w:rsid w:val="00A71000"/>
    <w:rsid w:val="00A76019"/>
    <w:rsid w:val="00A7669D"/>
    <w:rsid w:val="00A871AA"/>
    <w:rsid w:val="00A92F85"/>
    <w:rsid w:val="00A94636"/>
    <w:rsid w:val="00AC3A35"/>
    <w:rsid w:val="00AC3ACB"/>
    <w:rsid w:val="00AC4D4B"/>
    <w:rsid w:val="00AD7FB8"/>
    <w:rsid w:val="00AE069B"/>
    <w:rsid w:val="00AE26B4"/>
    <w:rsid w:val="00AE6846"/>
    <w:rsid w:val="00AE7140"/>
    <w:rsid w:val="00AE7FB0"/>
    <w:rsid w:val="00AF3324"/>
    <w:rsid w:val="00B018EA"/>
    <w:rsid w:val="00B13BB4"/>
    <w:rsid w:val="00B2104E"/>
    <w:rsid w:val="00B21CA7"/>
    <w:rsid w:val="00B25155"/>
    <w:rsid w:val="00B253AB"/>
    <w:rsid w:val="00B25430"/>
    <w:rsid w:val="00B25E58"/>
    <w:rsid w:val="00B3065C"/>
    <w:rsid w:val="00B31D56"/>
    <w:rsid w:val="00B3761A"/>
    <w:rsid w:val="00B60F95"/>
    <w:rsid w:val="00B61429"/>
    <w:rsid w:val="00B80108"/>
    <w:rsid w:val="00B8151E"/>
    <w:rsid w:val="00B923EE"/>
    <w:rsid w:val="00B9744E"/>
    <w:rsid w:val="00BB165E"/>
    <w:rsid w:val="00BB7585"/>
    <w:rsid w:val="00BD2308"/>
    <w:rsid w:val="00BD4F49"/>
    <w:rsid w:val="00BE2566"/>
    <w:rsid w:val="00BE2633"/>
    <w:rsid w:val="00BE7726"/>
    <w:rsid w:val="00BF10F4"/>
    <w:rsid w:val="00BF5CA0"/>
    <w:rsid w:val="00C00478"/>
    <w:rsid w:val="00C05271"/>
    <w:rsid w:val="00C05F49"/>
    <w:rsid w:val="00C128EF"/>
    <w:rsid w:val="00C206F7"/>
    <w:rsid w:val="00C20EF1"/>
    <w:rsid w:val="00C21123"/>
    <w:rsid w:val="00C24163"/>
    <w:rsid w:val="00C25B6B"/>
    <w:rsid w:val="00C345FE"/>
    <w:rsid w:val="00C34C4B"/>
    <w:rsid w:val="00C42798"/>
    <w:rsid w:val="00C42833"/>
    <w:rsid w:val="00C45C8B"/>
    <w:rsid w:val="00C46C5A"/>
    <w:rsid w:val="00C52072"/>
    <w:rsid w:val="00C536B9"/>
    <w:rsid w:val="00C54591"/>
    <w:rsid w:val="00C86CBF"/>
    <w:rsid w:val="00CA24AA"/>
    <w:rsid w:val="00CA37EF"/>
    <w:rsid w:val="00CA4727"/>
    <w:rsid w:val="00CA4FB6"/>
    <w:rsid w:val="00CB4118"/>
    <w:rsid w:val="00CC302E"/>
    <w:rsid w:val="00CC37ED"/>
    <w:rsid w:val="00CC7859"/>
    <w:rsid w:val="00CD0C6C"/>
    <w:rsid w:val="00CD0F06"/>
    <w:rsid w:val="00CD5B3B"/>
    <w:rsid w:val="00CE20B8"/>
    <w:rsid w:val="00CE69FC"/>
    <w:rsid w:val="00CE6AF6"/>
    <w:rsid w:val="00CF3F5C"/>
    <w:rsid w:val="00D0182A"/>
    <w:rsid w:val="00D06E9C"/>
    <w:rsid w:val="00D14DCB"/>
    <w:rsid w:val="00D156A7"/>
    <w:rsid w:val="00D245D4"/>
    <w:rsid w:val="00D330D3"/>
    <w:rsid w:val="00D434B8"/>
    <w:rsid w:val="00D45051"/>
    <w:rsid w:val="00D50351"/>
    <w:rsid w:val="00D539CA"/>
    <w:rsid w:val="00D557EF"/>
    <w:rsid w:val="00D55C23"/>
    <w:rsid w:val="00D70564"/>
    <w:rsid w:val="00D748FD"/>
    <w:rsid w:val="00D77CB0"/>
    <w:rsid w:val="00D83A58"/>
    <w:rsid w:val="00D85D9D"/>
    <w:rsid w:val="00D86F1D"/>
    <w:rsid w:val="00D90C23"/>
    <w:rsid w:val="00DA3F43"/>
    <w:rsid w:val="00DA62C9"/>
    <w:rsid w:val="00DA77F4"/>
    <w:rsid w:val="00DB235A"/>
    <w:rsid w:val="00DB323F"/>
    <w:rsid w:val="00DC0095"/>
    <w:rsid w:val="00DC0578"/>
    <w:rsid w:val="00DC0B9F"/>
    <w:rsid w:val="00DC39D2"/>
    <w:rsid w:val="00DC432D"/>
    <w:rsid w:val="00DD27CB"/>
    <w:rsid w:val="00DE1BF9"/>
    <w:rsid w:val="00DE51E5"/>
    <w:rsid w:val="00DE6409"/>
    <w:rsid w:val="00DE7CDC"/>
    <w:rsid w:val="00DF0E94"/>
    <w:rsid w:val="00DF1377"/>
    <w:rsid w:val="00DF3D66"/>
    <w:rsid w:val="00E001A1"/>
    <w:rsid w:val="00E0160B"/>
    <w:rsid w:val="00E051ED"/>
    <w:rsid w:val="00E06A2C"/>
    <w:rsid w:val="00E07E09"/>
    <w:rsid w:val="00E1396A"/>
    <w:rsid w:val="00E14E0B"/>
    <w:rsid w:val="00E24684"/>
    <w:rsid w:val="00E327DA"/>
    <w:rsid w:val="00E33157"/>
    <w:rsid w:val="00E4326E"/>
    <w:rsid w:val="00E46645"/>
    <w:rsid w:val="00E46F2A"/>
    <w:rsid w:val="00E544E0"/>
    <w:rsid w:val="00E562FC"/>
    <w:rsid w:val="00E56667"/>
    <w:rsid w:val="00E713C0"/>
    <w:rsid w:val="00E73591"/>
    <w:rsid w:val="00E80A27"/>
    <w:rsid w:val="00E80D5E"/>
    <w:rsid w:val="00E830CB"/>
    <w:rsid w:val="00E867B6"/>
    <w:rsid w:val="00E870FD"/>
    <w:rsid w:val="00EA0F6C"/>
    <w:rsid w:val="00EA3A93"/>
    <w:rsid w:val="00EB2B5A"/>
    <w:rsid w:val="00EB6999"/>
    <w:rsid w:val="00EB710B"/>
    <w:rsid w:val="00EC4E68"/>
    <w:rsid w:val="00ED56C3"/>
    <w:rsid w:val="00ED5E20"/>
    <w:rsid w:val="00ED6CDC"/>
    <w:rsid w:val="00EE32F2"/>
    <w:rsid w:val="00EE45AB"/>
    <w:rsid w:val="00EE5B7A"/>
    <w:rsid w:val="00EE7066"/>
    <w:rsid w:val="00EF71E1"/>
    <w:rsid w:val="00F0607A"/>
    <w:rsid w:val="00F12F4C"/>
    <w:rsid w:val="00F21B48"/>
    <w:rsid w:val="00F247F4"/>
    <w:rsid w:val="00F24B5D"/>
    <w:rsid w:val="00F25A6E"/>
    <w:rsid w:val="00F31DA6"/>
    <w:rsid w:val="00F3420A"/>
    <w:rsid w:val="00F42376"/>
    <w:rsid w:val="00F47197"/>
    <w:rsid w:val="00F55015"/>
    <w:rsid w:val="00F56471"/>
    <w:rsid w:val="00F60E7A"/>
    <w:rsid w:val="00F6485C"/>
    <w:rsid w:val="00F67D20"/>
    <w:rsid w:val="00F7057E"/>
    <w:rsid w:val="00F7548D"/>
    <w:rsid w:val="00F80A70"/>
    <w:rsid w:val="00F80B1E"/>
    <w:rsid w:val="00F82BE2"/>
    <w:rsid w:val="00F925A5"/>
    <w:rsid w:val="00F92ED0"/>
    <w:rsid w:val="00F95414"/>
    <w:rsid w:val="00F979DC"/>
    <w:rsid w:val="00FB5091"/>
    <w:rsid w:val="00FB6D27"/>
    <w:rsid w:val="00FC0F5B"/>
    <w:rsid w:val="00FC4284"/>
    <w:rsid w:val="00FC57E5"/>
    <w:rsid w:val="00FD1A7C"/>
    <w:rsid w:val="00FD3B7B"/>
    <w:rsid w:val="00FE2F2C"/>
    <w:rsid w:val="00FE76EA"/>
    <w:rsid w:val="00FF215A"/>
    <w:rsid w:val="00FF554B"/>
    <w:rsid w:val="00FF57F2"/>
    <w:rsid w:val="00FF6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4F308D"/>
  <w14:defaultImageDpi w14:val="300"/>
  <w15:docId w15:val="{0FE28D9A-83E7-4A70-BA28-01DF62DCB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0AF2"/>
    <w:pPr>
      <w:spacing w:after="120" w:line="276" w:lineRule="auto"/>
      <w:ind w:left="1701"/>
      <w:jc w:val="both"/>
    </w:pPr>
    <w:rPr>
      <w:rFonts w:ascii="Trebuchet MS" w:hAnsi="Trebuchet MS"/>
      <w:sz w:val="22"/>
      <w:szCs w:val="22"/>
      <w:lang w:val="ro-RO"/>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F49"/>
    <w:rPr>
      <w:rFonts w:ascii="Tahoma" w:hAnsi="Tahoma" w:cs="Tahoma"/>
      <w:sz w:val="16"/>
      <w:szCs w:val="16"/>
    </w:rPr>
  </w:style>
  <w:style w:type="character" w:styleId="Hyperlink">
    <w:name w:val="Hyperlink"/>
    <w:basedOn w:val="DefaultParagraphFont"/>
    <w:uiPriority w:val="99"/>
    <w:unhideWhenUsed/>
    <w:rsid w:val="00023330"/>
    <w:rPr>
      <w:color w:val="0000FF" w:themeColor="hyperlink"/>
      <w:u w:val="single"/>
    </w:rPr>
  </w:style>
  <w:style w:type="paragraph" w:styleId="BodyTextIndent2">
    <w:name w:val="Body Text Indent 2"/>
    <w:basedOn w:val="Normal"/>
    <w:link w:val="BodyTextIndent2Char"/>
    <w:rsid w:val="0064218B"/>
    <w:pPr>
      <w:spacing w:line="480" w:lineRule="auto"/>
      <w:ind w:left="283"/>
      <w:jc w:val="left"/>
    </w:pPr>
    <w:rPr>
      <w:rFonts w:ascii="Times New Roman" w:eastAsia="Times New Roman" w:hAnsi="Times New Roman"/>
      <w:sz w:val="20"/>
      <w:szCs w:val="20"/>
    </w:rPr>
  </w:style>
  <w:style w:type="character" w:customStyle="1" w:styleId="BodyTextIndent2Char">
    <w:name w:val="Body Text Indent 2 Char"/>
    <w:basedOn w:val="DefaultParagraphFont"/>
    <w:link w:val="BodyTextIndent2"/>
    <w:rsid w:val="0064218B"/>
    <w:rPr>
      <w:rFonts w:ascii="Times New Roman" w:eastAsia="Times New Roman" w:hAnsi="Times New Roman"/>
    </w:rPr>
  </w:style>
  <w:style w:type="paragraph" w:styleId="FootnoteText">
    <w:name w:val="footnote text"/>
    <w:basedOn w:val="Normal"/>
    <w:link w:val="FootnoteTextChar"/>
    <w:semiHidden/>
    <w:unhideWhenUsed/>
    <w:rsid w:val="00D50351"/>
    <w:pPr>
      <w:ind w:left="0"/>
    </w:pPr>
    <w:rPr>
      <w:sz w:val="16"/>
      <w:szCs w:val="20"/>
    </w:rPr>
  </w:style>
  <w:style w:type="character" w:customStyle="1" w:styleId="FootnoteTextChar">
    <w:name w:val="Footnote Text Char"/>
    <w:basedOn w:val="DefaultParagraphFont"/>
    <w:link w:val="FootnoteText"/>
    <w:semiHidden/>
    <w:rsid w:val="00D50351"/>
    <w:rPr>
      <w:rFonts w:ascii="Trebuchet MS" w:hAnsi="Trebuchet MS"/>
      <w:sz w:val="16"/>
    </w:rPr>
  </w:style>
  <w:style w:type="character" w:styleId="FootnoteReference">
    <w:name w:val="footnote reference"/>
    <w:basedOn w:val="DefaultParagraphFont"/>
    <w:semiHidden/>
    <w:unhideWhenUsed/>
    <w:rsid w:val="00E06A2C"/>
    <w:rPr>
      <w:rFonts w:ascii="Trebuchet MS" w:hAnsi="Trebuchet MS"/>
      <w:sz w:val="22"/>
      <w:vertAlign w:val="superscript"/>
    </w:rPr>
  </w:style>
  <w:style w:type="table" w:customStyle="1" w:styleId="Tabelgril1">
    <w:name w:val="Tabel grilă1"/>
    <w:basedOn w:val="TableNormal"/>
    <w:next w:val="TableGrid"/>
    <w:uiPriority w:val="59"/>
    <w:rsid w:val="00523C7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B25430"/>
    <w:pPr>
      <w:spacing w:after="200"/>
      <w:ind w:left="720"/>
      <w:contextualSpacing/>
      <w:jc w:val="left"/>
    </w:pPr>
    <w:rPr>
      <w:rFonts w:ascii="Calibri" w:eastAsia="Times New Roman" w:hAnsi="Calibri"/>
    </w:rPr>
  </w:style>
  <w:style w:type="character" w:styleId="UnresolvedMention">
    <w:name w:val="Unresolved Mention"/>
    <w:basedOn w:val="DefaultParagraphFont"/>
    <w:uiPriority w:val="99"/>
    <w:semiHidden/>
    <w:unhideWhenUsed/>
    <w:rsid w:val="00760EDB"/>
    <w:rPr>
      <w:color w:val="605E5C"/>
      <w:shd w:val="clear" w:color="auto" w:fill="E1DFDD"/>
    </w:rPr>
  </w:style>
  <w:style w:type="character" w:styleId="FollowedHyperlink">
    <w:name w:val="FollowedHyperlink"/>
    <w:basedOn w:val="DefaultParagraphFont"/>
    <w:uiPriority w:val="99"/>
    <w:semiHidden/>
    <w:unhideWhenUsed/>
    <w:rsid w:val="002719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1578089">
      <w:bodyDiv w:val="1"/>
      <w:marLeft w:val="0"/>
      <w:marRight w:val="0"/>
      <w:marTop w:val="0"/>
      <w:marBottom w:val="0"/>
      <w:divBdr>
        <w:top w:val="none" w:sz="0" w:space="0" w:color="auto"/>
        <w:left w:val="none" w:sz="0" w:space="0" w:color="auto"/>
        <w:bottom w:val="none" w:sz="0" w:space="0" w:color="auto"/>
        <w:right w:val="none" w:sz="0" w:space="0" w:color="auto"/>
      </w:divBdr>
    </w:div>
    <w:div w:id="1732117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edirect.e-guvernare.ro"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xamenauto2026@just.ro" TargetMode="External"/><Relationship Id="rId4" Type="http://schemas.openxmlformats.org/officeDocument/2006/relationships/settings" Target="settings.xml"/><Relationship Id="rId9" Type="http://schemas.openxmlformats.org/officeDocument/2006/relationships/hyperlink" Target="mailto:examenauto2026@just.ro"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just.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just.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Viorel.Streza\Desktop\template%20min%204%20radu\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890CF-81AB-4591-8A12-172E84C01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130</TotalTime>
  <Pages>8</Pages>
  <Words>2440</Words>
  <Characters>14153</Characters>
  <Application>Microsoft Office Word</Application>
  <DocSecurity>0</DocSecurity>
  <Lines>117</Lines>
  <Paragraphs>33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16560</CharactersWithSpaces>
  <SharedDoc>false</SharedDoc>
  <HLinks>
    <vt:vector size="12" baseType="variant">
      <vt:variant>
        <vt:i4>458786</vt:i4>
      </vt:variant>
      <vt:variant>
        <vt:i4>5514</vt:i4>
      </vt:variant>
      <vt:variant>
        <vt:i4>1026</vt:i4>
      </vt:variant>
      <vt:variant>
        <vt:i4>1</vt:i4>
      </vt:variant>
      <vt:variant>
        <vt:lpwstr>logo_antet_dep_energie_p2</vt:lpwstr>
      </vt:variant>
      <vt:variant>
        <vt:lpwstr/>
      </vt:variant>
      <vt:variant>
        <vt:i4>7798863</vt:i4>
      </vt:variant>
      <vt:variant>
        <vt:i4>7856</vt:i4>
      </vt:variant>
      <vt:variant>
        <vt:i4>1025</vt:i4>
      </vt:variant>
      <vt:variant>
        <vt:i4>1</vt:i4>
      </vt:variant>
      <vt:variant>
        <vt:lpwstr>logo_antet_dep_energie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Viorel Streza</dc:creator>
  <cp:lastModifiedBy>Serviciul Profesii Juridice Conexe</cp:lastModifiedBy>
  <cp:revision>69</cp:revision>
  <cp:lastPrinted>2019-05-22T09:35:00Z</cp:lastPrinted>
  <dcterms:created xsi:type="dcterms:W3CDTF">2025-10-28T21:57:00Z</dcterms:created>
  <dcterms:modified xsi:type="dcterms:W3CDTF">2026-02-11T12:33:00Z</dcterms:modified>
</cp:coreProperties>
</file>